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00" w:firstRow="0" w:lastRow="0" w:firstColumn="0" w:lastColumn="0" w:noHBand="0" w:noVBand="0"/>
      </w:tblPr>
      <w:tblGrid>
        <w:gridCol w:w="1276"/>
        <w:gridCol w:w="7796"/>
      </w:tblGrid>
      <w:tr w:rsidR="00281377" w:rsidRPr="0070113D" w14:paraId="38EF9D55" w14:textId="77777777" w:rsidTr="00281377">
        <w:trPr>
          <w:trHeight w:val="1144"/>
        </w:trPr>
        <w:tc>
          <w:tcPr>
            <w:tcW w:w="1308" w:type="dxa"/>
          </w:tcPr>
          <w:p w14:paraId="609D2C6B" w14:textId="77777777" w:rsidR="00281377" w:rsidRPr="0070113D" w:rsidRDefault="00281377" w:rsidP="00C2299D">
            <w:pPr>
              <w:rPr>
                <w:rFonts w:cs="Tahoma"/>
              </w:rPr>
            </w:pPr>
            <w:r w:rsidRPr="0070113D">
              <w:rPr>
                <w:rFonts w:cs="Tahoma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7EE5B97" wp14:editId="2E3C6BE0">
                  <wp:simplePos x="0" y="0"/>
                  <wp:positionH relativeFrom="column">
                    <wp:posOffset>97266</wp:posOffset>
                  </wp:positionH>
                  <wp:positionV relativeFrom="paragraph">
                    <wp:posOffset>86167</wp:posOffset>
                  </wp:positionV>
                  <wp:extent cx="505736" cy="564543"/>
                  <wp:effectExtent l="19050" t="0" r="8614" b="0"/>
                  <wp:wrapNone/>
                  <wp:docPr id="2" name="Picture 2" descr="DHMZ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HMZ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36" cy="564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80" w:type="dxa"/>
          </w:tcPr>
          <w:p w14:paraId="08BDF26C" w14:textId="77777777" w:rsidR="00281377" w:rsidRPr="0070113D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Državni hidrometeorološki zavod</w:t>
            </w:r>
          </w:p>
          <w:p w14:paraId="7A09BBC6" w14:textId="77777777" w:rsidR="00281377" w:rsidRPr="0070113D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10</w:t>
            </w:r>
            <w:r w:rsidR="004F59FF" w:rsidRPr="0070113D">
              <w:rPr>
                <w:rFonts w:ascii="Arial" w:hAnsi="Arial" w:cs="Arial"/>
                <w:sz w:val="20"/>
              </w:rPr>
              <w:t xml:space="preserve"> </w:t>
            </w:r>
            <w:r w:rsidRPr="0070113D">
              <w:rPr>
                <w:rFonts w:ascii="Arial" w:hAnsi="Arial" w:cs="Arial"/>
                <w:sz w:val="20"/>
              </w:rPr>
              <w:t xml:space="preserve">000 Zagreb, </w:t>
            </w:r>
            <w:r w:rsidR="004C0B94" w:rsidRPr="0070113D">
              <w:rPr>
                <w:rFonts w:ascii="Arial" w:hAnsi="Arial" w:cs="Arial"/>
                <w:sz w:val="20"/>
              </w:rPr>
              <w:t>Ravnice</w:t>
            </w:r>
            <w:r w:rsidRPr="0070113D">
              <w:rPr>
                <w:rFonts w:ascii="Arial" w:hAnsi="Arial" w:cs="Arial"/>
                <w:sz w:val="20"/>
              </w:rPr>
              <w:t xml:space="preserve"> </w:t>
            </w:r>
            <w:r w:rsidR="004C0B94" w:rsidRPr="0070113D">
              <w:rPr>
                <w:rFonts w:ascii="Arial" w:hAnsi="Arial" w:cs="Arial"/>
                <w:sz w:val="20"/>
              </w:rPr>
              <w:t>48</w:t>
            </w:r>
          </w:p>
          <w:p w14:paraId="62759104" w14:textId="77777777" w:rsidR="00281377" w:rsidRPr="0070113D" w:rsidRDefault="00281377" w:rsidP="00C2299D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70113D">
              <w:rPr>
                <w:rFonts w:ascii="Arial" w:hAnsi="Arial" w:cs="Arial"/>
                <w:sz w:val="20"/>
              </w:rPr>
              <w:t>http://meteo.hr</w:t>
            </w:r>
          </w:p>
          <w:p w14:paraId="53492A7B" w14:textId="79FA7A36" w:rsidR="00281377" w:rsidRPr="0070113D" w:rsidRDefault="00281377" w:rsidP="00C2299D">
            <w:pPr>
              <w:pStyle w:val="BodyText"/>
              <w:jc w:val="left"/>
              <w:rPr>
                <w:rFonts w:asciiTheme="minorHAnsi" w:hAnsiTheme="minorHAnsi" w:cs="Tahoma"/>
              </w:rPr>
            </w:pPr>
            <w:r w:rsidRPr="0070113D">
              <w:rPr>
                <w:rFonts w:ascii="Arial" w:hAnsi="Arial" w:cs="Arial"/>
                <w:sz w:val="20"/>
              </w:rPr>
              <w:t xml:space="preserve">tel: </w:t>
            </w:r>
            <w:r w:rsidR="00DE69EB" w:rsidRPr="00DE69EB">
              <w:rPr>
                <w:rFonts w:ascii="Arial" w:hAnsi="Arial" w:cs="Arial"/>
                <w:sz w:val="20"/>
              </w:rPr>
              <w:t>456</w:t>
            </w:r>
            <w:r w:rsidR="00DE69EB">
              <w:rPr>
                <w:rFonts w:ascii="Arial" w:hAnsi="Arial" w:cs="Arial"/>
                <w:sz w:val="20"/>
              </w:rPr>
              <w:t>5 666</w:t>
            </w:r>
          </w:p>
        </w:tc>
      </w:tr>
    </w:tbl>
    <w:p w14:paraId="5B7387E4" w14:textId="7C068F9C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Naziv obveznika: </w:t>
      </w:r>
      <w:r w:rsidRPr="0070113D">
        <w:rPr>
          <w:rFonts w:ascii="Arial" w:hAnsi="Arial" w:cs="Arial"/>
          <w:sz w:val="24"/>
          <w:szCs w:val="24"/>
        </w:rPr>
        <w:t>Državni hidrometeorološki zavod</w:t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="00B3148C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Broj RKP-a</w:t>
      </w:r>
      <w:r w:rsidRPr="0070113D">
        <w:rPr>
          <w:rFonts w:ascii="Arial" w:hAnsi="Arial" w:cs="Arial"/>
          <w:sz w:val="24"/>
          <w:szCs w:val="24"/>
        </w:rPr>
        <w:t>: 21609</w:t>
      </w:r>
    </w:p>
    <w:p w14:paraId="7A3110A3" w14:textId="58337D54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Sjedište obveznika:</w:t>
      </w:r>
      <w:r w:rsidRPr="0070113D">
        <w:rPr>
          <w:rFonts w:ascii="Arial" w:hAnsi="Arial" w:cs="Arial"/>
          <w:sz w:val="24"/>
          <w:szCs w:val="24"/>
        </w:rPr>
        <w:t xml:space="preserve"> Zagreb</w:t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="00692362" w:rsidRPr="0070113D">
        <w:rPr>
          <w:rFonts w:ascii="Arial" w:hAnsi="Arial" w:cs="Arial"/>
          <w:sz w:val="24"/>
          <w:szCs w:val="24"/>
        </w:rPr>
        <w:t xml:space="preserve"> </w:t>
      </w:r>
      <w:r w:rsidR="00B3148C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Matični broj</w:t>
      </w:r>
      <w:r w:rsidRPr="0070113D">
        <w:rPr>
          <w:rFonts w:ascii="Arial" w:hAnsi="Arial" w:cs="Arial"/>
          <w:sz w:val="24"/>
          <w:szCs w:val="24"/>
        </w:rPr>
        <w:t xml:space="preserve">: </w:t>
      </w:r>
      <w:r w:rsidR="004727FB" w:rsidRPr="0070113D">
        <w:rPr>
          <w:rFonts w:ascii="Arial" w:hAnsi="Arial" w:cs="Arial"/>
          <w:sz w:val="24"/>
          <w:szCs w:val="24"/>
        </w:rPr>
        <w:t>0</w:t>
      </w:r>
      <w:r w:rsidRPr="0070113D">
        <w:rPr>
          <w:rFonts w:ascii="Arial" w:hAnsi="Arial" w:cs="Arial"/>
          <w:sz w:val="24"/>
          <w:szCs w:val="24"/>
        </w:rPr>
        <w:t>3206017</w:t>
      </w:r>
    </w:p>
    <w:p w14:paraId="4758431D" w14:textId="45DD5B74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Adresa i sjedište obveznika</w:t>
      </w:r>
      <w:r w:rsidRPr="0070113D">
        <w:rPr>
          <w:rFonts w:ascii="Arial" w:hAnsi="Arial" w:cs="Arial"/>
          <w:sz w:val="24"/>
          <w:szCs w:val="24"/>
        </w:rPr>
        <w:t xml:space="preserve">: </w:t>
      </w:r>
      <w:r w:rsidR="009D610F" w:rsidRPr="0070113D">
        <w:rPr>
          <w:rFonts w:ascii="Arial" w:hAnsi="Arial" w:cs="Arial"/>
          <w:sz w:val="24"/>
          <w:szCs w:val="24"/>
        </w:rPr>
        <w:t>Ravnice 48</w:t>
      </w:r>
      <w:r w:rsidRPr="0070113D">
        <w:rPr>
          <w:rFonts w:ascii="Arial" w:hAnsi="Arial" w:cs="Arial"/>
          <w:sz w:val="24"/>
          <w:szCs w:val="24"/>
        </w:rPr>
        <w:t>, 10000 Zagreb</w:t>
      </w:r>
      <w:r w:rsidRPr="0070113D">
        <w:rPr>
          <w:rFonts w:ascii="Arial" w:hAnsi="Arial" w:cs="Arial"/>
          <w:sz w:val="24"/>
          <w:szCs w:val="24"/>
        </w:rPr>
        <w:tab/>
      </w:r>
      <w:r w:rsidR="009D610F" w:rsidRPr="0070113D">
        <w:rPr>
          <w:rFonts w:ascii="Arial" w:hAnsi="Arial" w:cs="Arial"/>
          <w:sz w:val="24"/>
          <w:szCs w:val="24"/>
        </w:rPr>
        <w:t xml:space="preserve"> </w:t>
      </w:r>
      <w:r w:rsidRPr="0070113D">
        <w:rPr>
          <w:rFonts w:ascii="Arial" w:hAnsi="Arial" w:cs="Arial"/>
          <w:b/>
          <w:sz w:val="24"/>
          <w:szCs w:val="24"/>
        </w:rPr>
        <w:t>OIB</w:t>
      </w:r>
      <w:r w:rsidRPr="0070113D">
        <w:rPr>
          <w:rFonts w:ascii="Arial" w:hAnsi="Arial" w:cs="Arial"/>
          <w:sz w:val="24"/>
          <w:szCs w:val="24"/>
        </w:rPr>
        <w:t>: 74660437164</w:t>
      </w:r>
    </w:p>
    <w:p w14:paraId="201379CB" w14:textId="1B6A4DB3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Razina</w:t>
      </w:r>
      <w:r w:rsidRPr="0070113D">
        <w:rPr>
          <w:rFonts w:ascii="Arial" w:hAnsi="Arial" w:cs="Arial"/>
          <w:sz w:val="24"/>
          <w:szCs w:val="24"/>
        </w:rPr>
        <w:t>: 11</w:t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Pr="0070113D">
        <w:rPr>
          <w:rFonts w:ascii="Arial" w:hAnsi="Arial" w:cs="Arial"/>
          <w:sz w:val="24"/>
          <w:szCs w:val="24"/>
        </w:rPr>
        <w:tab/>
      </w:r>
      <w:r w:rsidR="00692362" w:rsidRPr="0070113D">
        <w:rPr>
          <w:rFonts w:ascii="Arial" w:hAnsi="Arial" w:cs="Arial"/>
          <w:sz w:val="24"/>
          <w:szCs w:val="24"/>
        </w:rPr>
        <w:t xml:space="preserve">     </w:t>
      </w:r>
      <w:r w:rsidR="00044F72" w:rsidRPr="0070113D">
        <w:rPr>
          <w:rFonts w:ascii="Arial" w:hAnsi="Arial" w:cs="Arial"/>
          <w:sz w:val="24"/>
          <w:szCs w:val="24"/>
        </w:rPr>
        <w:t xml:space="preserve">      </w:t>
      </w:r>
      <w:r w:rsidRPr="0070113D">
        <w:rPr>
          <w:rFonts w:ascii="Arial" w:hAnsi="Arial" w:cs="Arial"/>
          <w:b/>
          <w:sz w:val="24"/>
          <w:szCs w:val="24"/>
        </w:rPr>
        <w:t>Šifra djelatnosti</w:t>
      </w:r>
      <w:r w:rsidRPr="0070113D">
        <w:rPr>
          <w:rFonts w:ascii="Arial" w:hAnsi="Arial" w:cs="Arial"/>
          <w:sz w:val="24"/>
          <w:szCs w:val="24"/>
        </w:rPr>
        <w:t>: 8411</w:t>
      </w:r>
    </w:p>
    <w:p w14:paraId="26341473" w14:textId="77777777" w:rsidR="00753EF3" w:rsidRPr="0070113D" w:rsidRDefault="00753EF3" w:rsidP="00E736D3">
      <w:pPr>
        <w:pStyle w:val="BodyText"/>
        <w:jc w:val="lef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Razdjel</w:t>
      </w:r>
      <w:r w:rsidRPr="0070113D">
        <w:rPr>
          <w:rFonts w:ascii="Arial" w:hAnsi="Arial" w:cs="Arial"/>
          <w:sz w:val="24"/>
          <w:szCs w:val="24"/>
        </w:rPr>
        <w:t>: 077</w:t>
      </w:r>
    </w:p>
    <w:p w14:paraId="37013FFE" w14:textId="77777777" w:rsidR="00FB6CB9" w:rsidRPr="0070113D" w:rsidRDefault="00FB6CB9" w:rsidP="00044F72">
      <w:pPr>
        <w:jc w:val="center"/>
        <w:rPr>
          <w:b/>
          <w:sz w:val="26"/>
          <w:szCs w:val="26"/>
        </w:rPr>
      </w:pPr>
    </w:p>
    <w:p w14:paraId="25DE1953" w14:textId="412324E6" w:rsidR="0030710C" w:rsidRPr="0070113D" w:rsidRDefault="0030710C" w:rsidP="00044F72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>Izvještaji proračuna, proračunskih i izvanproračunskih k</w:t>
      </w:r>
      <w:r w:rsidR="005A29AA" w:rsidRPr="0070113D">
        <w:rPr>
          <w:rFonts w:ascii="Arial" w:hAnsi="Arial" w:cs="Arial"/>
          <w:b/>
          <w:sz w:val="24"/>
          <w:szCs w:val="24"/>
        </w:rPr>
        <w:t>orisnika za razdoblje:</w:t>
      </w:r>
      <w:r w:rsidR="005A29AA" w:rsidRPr="0070113D">
        <w:rPr>
          <w:rFonts w:ascii="Arial" w:hAnsi="Arial" w:cs="Arial"/>
          <w:b/>
          <w:sz w:val="24"/>
          <w:szCs w:val="24"/>
        </w:rPr>
        <w:br/>
        <w:t>1. siječ</w:t>
      </w:r>
      <w:r w:rsidRPr="0070113D">
        <w:rPr>
          <w:rFonts w:ascii="Arial" w:hAnsi="Arial" w:cs="Arial"/>
          <w:b/>
          <w:sz w:val="24"/>
          <w:szCs w:val="24"/>
        </w:rPr>
        <w:t>nj</w:t>
      </w:r>
      <w:r w:rsidR="005A29AA" w:rsidRPr="0070113D">
        <w:rPr>
          <w:rFonts w:ascii="Arial" w:hAnsi="Arial" w:cs="Arial"/>
          <w:b/>
          <w:sz w:val="24"/>
          <w:szCs w:val="24"/>
        </w:rPr>
        <w:t>a</w:t>
      </w:r>
      <w:r w:rsidRPr="0070113D">
        <w:rPr>
          <w:rFonts w:ascii="Arial" w:hAnsi="Arial" w:cs="Arial"/>
          <w:b/>
          <w:sz w:val="24"/>
          <w:szCs w:val="24"/>
        </w:rPr>
        <w:t xml:space="preserve"> 20</w:t>
      </w:r>
      <w:r w:rsidR="004C0B94" w:rsidRPr="0070113D">
        <w:rPr>
          <w:rFonts w:ascii="Arial" w:hAnsi="Arial" w:cs="Arial"/>
          <w:b/>
          <w:sz w:val="24"/>
          <w:szCs w:val="24"/>
        </w:rPr>
        <w:t>2</w:t>
      </w:r>
      <w:r w:rsidR="004727FB" w:rsidRPr="0070113D">
        <w:rPr>
          <w:rFonts w:ascii="Arial" w:hAnsi="Arial" w:cs="Arial"/>
          <w:b/>
          <w:sz w:val="24"/>
          <w:szCs w:val="24"/>
        </w:rPr>
        <w:t>1</w:t>
      </w:r>
      <w:r w:rsidRPr="0070113D">
        <w:rPr>
          <w:rFonts w:ascii="Arial" w:hAnsi="Arial" w:cs="Arial"/>
          <w:b/>
          <w:sz w:val="24"/>
          <w:szCs w:val="24"/>
        </w:rPr>
        <w:t xml:space="preserve">. – </w:t>
      </w:r>
      <w:r w:rsidR="007F3F69" w:rsidRPr="0070113D">
        <w:rPr>
          <w:rFonts w:ascii="Arial" w:hAnsi="Arial" w:cs="Arial"/>
          <w:b/>
          <w:sz w:val="24"/>
          <w:szCs w:val="24"/>
        </w:rPr>
        <w:t>31. prosinc</w:t>
      </w:r>
      <w:r w:rsidR="005A29AA" w:rsidRPr="0070113D">
        <w:rPr>
          <w:rFonts w:ascii="Arial" w:hAnsi="Arial" w:cs="Arial"/>
          <w:b/>
          <w:sz w:val="24"/>
          <w:szCs w:val="24"/>
        </w:rPr>
        <w:t>a</w:t>
      </w:r>
      <w:r w:rsidRPr="0070113D">
        <w:rPr>
          <w:rFonts w:ascii="Arial" w:hAnsi="Arial" w:cs="Arial"/>
          <w:b/>
          <w:sz w:val="24"/>
          <w:szCs w:val="24"/>
        </w:rPr>
        <w:t xml:space="preserve"> 20</w:t>
      </w:r>
      <w:r w:rsidR="004C0B94" w:rsidRPr="0070113D">
        <w:rPr>
          <w:rFonts w:ascii="Arial" w:hAnsi="Arial" w:cs="Arial"/>
          <w:b/>
          <w:sz w:val="24"/>
          <w:szCs w:val="24"/>
        </w:rPr>
        <w:t>2</w:t>
      </w:r>
      <w:r w:rsidR="004727FB" w:rsidRPr="0070113D">
        <w:rPr>
          <w:rFonts w:ascii="Arial" w:hAnsi="Arial" w:cs="Arial"/>
          <w:b/>
          <w:sz w:val="24"/>
          <w:szCs w:val="24"/>
        </w:rPr>
        <w:t>1</w:t>
      </w:r>
      <w:r w:rsidRPr="0070113D">
        <w:rPr>
          <w:rFonts w:ascii="Arial" w:hAnsi="Arial" w:cs="Arial"/>
          <w:b/>
          <w:sz w:val="24"/>
          <w:szCs w:val="24"/>
        </w:rPr>
        <w:t>.</w:t>
      </w:r>
    </w:p>
    <w:p w14:paraId="7C4B6AA3" w14:textId="77777777" w:rsidR="004727FB" w:rsidRPr="0070113D" w:rsidRDefault="004727FB" w:rsidP="00044F72">
      <w:pPr>
        <w:jc w:val="center"/>
        <w:rPr>
          <w:rFonts w:ascii="Arial" w:hAnsi="Arial" w:cs="Arial"/>
          <w:b/>
          <w:sz w:val="24"/>
          <w:szCs w:val="24"/>
        </w:rPr>
      </w:pPr>
    </w:p>
    <w:p w14:paraId="7A7A4E84" w14:textId="77777777" w:rsidR="004727FB" w:rsidRPr="0070113D" w:rsidRDefault="0030710C" w:rsidP="00B3148C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BILJEŠKE UZ </w:t>
      </w:r>
      <w:r w:rsidR="00FB6CB9" w:rsidRPr="0070113D">
        <w:rPr>
          <w:rFonts w:ascii="Arial" w:hAnsi="Arial" w:cs="Arial"/>
          <w:b/>
          <w:sz w:val="24"/>
          <w:szCs w:val="24"/>
        </w:rPr>
        <w:t xml:space="preserve">FINANCIJSKE </w:t>
      </w:r>
      <w:r w:rsidRPr="0070113D">
        <w:rPr>
          <w:rFonts w:ascii="Arial" w:hAnsi="Arial" w:cs="Arial"/>
          <w:b/>
          <w:sz w:val="24"/>
          <w:szCs w:val="24"/>
        </w:rPr>
        <w:t>IZVJEŠ</w:t>
      </w:r>
      <w:r w:rsidR="009D610F" w:rsidRPr="0070113D">
        <w:rPr>
          <w:rFonts w:ascii="Arial" w:hAnsi="Arial" w:cs="Arial"/>
          <w:b/>
          <w:sz w:val="24"/>
          <w:szCs w:val="24"/>
        </w:rPr>
        <w:t>TAJE</w:t>
      </w:r>
      <w:r w:rsidR="004727FB" w:rsidRPr="0070113D">
        <w:rPr>
          <w:rFonts w:ascii="Arial" w:hAnsi="Arial" w:cs="Arial"/>
          <w:b/>
          <w:sz w:val="24"/>
          <w:szCs w:val="24"/>
        </w:rPr>
        <w:t xml:space="preserve"> </w:t>
      </w:r>
    </w:p>
    <w:p w14:paraId="547E4657" w14:textId="1E032A4B" w:rsidR="00B3148C" w:rsidRPr="0070113D" w:rsidRDefault="004727FB" w:rsidP="00B3148C">
      <w:pPr>
        <w:jc w:val="center"/>
        <w:rPr>
          <w:rFonts w:ascii="Arial" w:hAnsi="Arial" w:cs="Arial"/>
          <w:b/>
          <w:sz w:val="24"/>
          <w:szCs w:val="24"/>
        </w:rPr>
      </w:pPr>
      <w:r w:rsidRPr="0070113D">
        <w:rPr>
          <w:rFonts w:ascii="Arial" w:hAnsi="Arial" w:cs="Arial"/>
          <w:b/>
          <w:sz w:val="24"/>
          <w:szCs w:val="24"/>
        </w:rPr>
        <w:t xml:space="preserve">DRŽAVNOG HIDROMETEOROLOŠKOG ZAVODA </w:t>
      </w:r>
      <w:r w:rsidR="009D610F" w:rsidRPr="0070113D">
        <w:rPr>
          <w:rFonts w:ascii="Arial" w:hAnsi="Arial" w:cs="Arial"/>
          <w:b/>
          <w:sz w:val="24"/>
          <w:szCs w:val="24"/>
        </w:rPr>
        <w:t>ZA 202</w:t>
      </w:r>
      <w:r w:rsidRPr="0070113D">
        <w:rPr>
          <w:rFonts w:ascii="Arial" w:hAnsi="Arial" w:cs="Arial"/>
          <w:b/>
          <w:sz w:val="24"/>
          <w:szCs w:val="24"/>
        </w:rPr>
        <w:t>1</w:t>
      </w:r>
      <w:r w:rsidR="00FB6CB9" w:rsidRPr="0070113D">
        <w:rPr>
          <w:rFonts w:ascii="Arial" w:hAnsi="Arial" w:cs="Arial"/>
          <w:b/>
          <w:sz w:val="24"/>
          <w:szCs w:val="24"/>
        </w:rPr>
        <w:t xml:space="preserve">. </w:t>
      </w:r>
      <w:r w:rsidR="00B40C45" w:rsidRPr="0070113D">
        <w:rPr>
          <w:rFonts w:ascii="Arial" w:hAnsi="Arial" w:cs="Arial"/>
          <w:b/>
          <w:sz w:val="24"/>
          <w:szCs w:val="24"/>
        </w:rPr>
        <w:t>godinu</w:t>
      </w:r>
    </w:p>
    <w:p w14:paraId="0B5D527F" w14:textId="77777777" w:rsidR="00A05EAB" w:rsidRPr="0070113D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podržava održivi i gospodarski razvoj države te zaštitu života, dobara i okoliša informacijama o vremenu, klimi, klimatskim varijacijama i promjenama, vodama i zraku te upozorenjima na opasne vremenske, hidrološke i ekološke pojave i klimatske ekstreme u cilju ublažavanja njihovih posljedica prema preporukama Svjetske meteorološke organizacije i direktivama Europske Unije.</w:t>
      </w:r>
    </w:p>
    <w:p w14:paraId="16329247" w14:textId="77777777" w:rsidR="00A05EAB" w:rsidRPr="0070113D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upravlja meteorološkom i hidrološkom infrastrukturom te infrastrukturom za motrenje kvalitete zraka te nacionalnom arhivom meteoroloških, hidroloških i njima srodnih podataka.</w:t>
      </w:r>
    </w:p>
    <w:p w14:paraId="2D2273DA" w14:textId="77777777" w:rsidR="00A05EAB" w:rsidRPr="0070113D" w:rsidRDefault="00A05EAB" w:rsidP="00A05EAB">
      <w:pPr>
        <w:pStyle w:val="NormalWeb"/>
        <w:spacing w:before="120" w:after="120"/>
        <w:jc w:val="both"/>
        <w:rPr>
          <w:rFonts w:ascii="Arial" w:hAnsi="Arial" w:cs="Arial"/>
          <w:lang w:val="hr-HR"/>
        </w:rPr>
      </w:pPr>
      <w:r w:rsidRPr="0070113D">
        <w:rPr>
          <w:rFonts w:ascii="Arial" w:hAnsi="Arial" w:cs="Arial"/>
          <w:lang w:val="hr-HR"/>
        </w:rPr>
        <w:t>DHMZ provodi pouzdano i prepoznatljivo međunarodno partnerstvo, posebno na području jugoistočne i srednje Europe.</w:t>
      </w:r>
    </w:p>
    <w:p w14:paraId="1DC345AB" w14:textId="7446DC4F" w:rsidR="007C68CD" w:rsidRPr="0070113D" w:rsidRDefault="00FB6CB9" w:rsidP="00F93DEE">
      <w:pPr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DHMZ je od 2014. godine obveznik PDV-a.</w:t>
      </w:r>
    </w:p>
    <w:p w14:paraId="5D7EAE85" w14:textId="5FFA0CD7" w:rsidR="004727FB" w:rsidRPr="0070113D" w:rsidRDefault="004727FB" w:rsidP="00F93DEE">
      <w:pPr>
        <w:rPr>
          <w:rFonts w:ascii="Arial" w:hAnsi="Arial" w:cs="Arial"/>
          <w:sz w:val="24"/>
          <w:szCs w:val="24"/>
        </w:rPr>
      </w:pPr>
    </w:p>
    <w:p w14:paraId="16CB7CDC" w14:textId="6AF85E9E" w:rsidR="004727FB" w:rsidRPr="0070113D" w:rsidRDefault="004727FB" w:rsidP="00F93DEE">
      <w:pPr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BILANCU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30"/>
        <w:gridCol w:w="737"/>
        <w:gridCol w:w="1017"/>
        <w:gridCol w:w="6138"/>
      </w:tblGrid>
      <w:tr w:rsidR="000E0E24" w:rsidRPr="0070113D" w14:paraId="7D06D608" w14:textId="77777777" w:rsidTr="000661E7">
        <w:trPr>
          <w:trHeight w:val="981"/>
        </w:trPr>
        <w:tc>
          <w:tcPr>
            <w:tcW w:w="1430" w:type="dxa"/>
            <w:vAlign w:val="center"/>
          </w:tcPr>
          <w:p w14:paraId="639E22EF" w14:textId="7777777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Račun iz računskog plana</w:t>
            </w:r>
          </w:p>
        </w:tc>
        <w:tc>
          <w:tcPr>
            <w:tcW w:w="737" w:type="dxa"/>
            <w:vAlign w:val="center"/>
          </w:tcPr>
          <w:p w14:paraId="44AF1D77" w14:textId="7777777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AOP</w:t>
            </w:r>
          </w:p>
        </w:tc>
        <w:tc>
          <w:tcPr>
            <w:tcW w:w="1017" w:type="dxa"/>
            <w:vAlign w:val="center"/>
          </w:tcPr>
          <w:p w14:paraId="0D0A34A0" w14:textId="7777777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6138" w:type="dxa"/>
            <w:vAlign w:val="center"/>
          </w:tcPr>
          <w:p w14:paraId="5B91A229" w14:textId="7777777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Bilješka</w:t>
            </w:r>
          </w:p>
        </w:tc>
      </w:tr>
      <w:tr w:rsidR="000E0E24" w:rsidRPr="0070113D" w14:paraId="07E1A292" w14:textId="77777777" w:rsidTr="000661E7">
        <w:trPr>
          <w:trHeight w:val="981"/>
        </w:trPr>
        <w:tc>
          <w:tcPr>
            <w:tcW w:w="1430" w:type="dxa"/>
            <w:vAlign w:val="center"/>
          </w:tcPr>
          <w:p w14:paraId="0A4DFAA1" w14:textId="0161A14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019</w:t>
            </w:r>
          </w:p>
        </w:tc>
        <w:tc>
          <w:tcPr>
            <w:tcW w:w="737" w:type="dxa"/>
            <w:vAlign w:val="center"/>
          </w:tcPr>
          <w:p w14:paraId="6C94A091" w14:textId="45AF300A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006</w:t>
            </w:r>
          </w:p>
        </w:tc>
        <w:tc>
          <w:tcPr>
            <w:tcW w:w="1017" w:type="dxa"/>
            <w:vAlign w:val="center"/>
          </w:tcPr>
          <w:p w14:paraId="1CE0CFB7" w14:textId="5AD4CC7C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142,4</w:t>
            </w:r>
          </w:p>
        </w:tc>
        <w:tc>
          <w:tcPr>
            <w:tcW w:w="6138" w:type="dxa"/>
            <w:vAlign w:val="center"/>
          </w:tcPr>
          <w:p w14:paraId="778D6ED4" w14:textId="7400F005" w:rsidR="000E0E24" w:rsidRPr="0070113D" w:rsidRDefault="00862F45" w:rsidP="000661E7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Razlog povećanju je ispravak u evidenciji dugotrajne imovine nabavljene prethodnih godina prema uputi Drž</w:t>
            </w:r>
            <w:r w:rsidR="00DD25EB">
              <w:rPr>
                <w:rFonts w:ascii="Arial" w:hAnsi="Arial" w:cs="Arial"/>
                <w:bCs/>
                <w:sz w:val="24"/>
                <w:szCs w:val="24"/>
              </w:rPr>
              <w:t>a</w:t>
            </w:r>
            <w:r w:rsidRPr="0070113D">
              <w:rPr>
                <w:rFonts w:ascii="Arial" w:hAnsi="Arial" w:cs="Arial"/>
                <w:bCs/>
                <w:sz w:val="24"/>
                <w:szCs w:val="24"/>
              </w:rPr>
              <w:t>vnog ureda za reviziju</w:t>
            </w:r>
          </w:p>
        </w:tc>
      </w:tr>
      <w:tr w:rsidR="000E0E24" w:rsidRPr="0070113D" w14:paraId="4545EE26" w14:textId="77777777" w:rsidTr="000661E7">
        <w:trPr>
          <w:trHeight w:val="581"/>
        </w:trPr>
        <w:tc>
          <w:tcPr>
            <w:tcW w:w="1430" w:type="dxa"/>
            <w:vAlign w:val="center"/>
          </w:tcPr>
          <w:p w14:paraId="76266FB6" w14:textId="39592AE7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0214</w:t>
            </w:r>
          </w:p>
        </w:tc>
        <w:tc>
          <w:tcPr>
            <w:tcW w:w="737" w:type="dxa"/>
            <w:vAlign w:val="center"/>
          </w:tcPr>
          <w:p w14:paraId="3B988D8E" w14:textId="40E8BC21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1017" w:type="dxa"/>
            <w:vAlign w:val="center"/>
          </w:tcPr>
          <w:p w14:paraId="667B64EA" w14:textId="0618F718" w:rsidR="000E0E24" w:rsidRPr="0070113D" w:rsidRDefault="000E0E24" w:rsidP="000661E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123,3</w:t>
            </w:r>
          </w:p>
        </w:tc>
        <w:tc>
          <w:tcPr>
            <w:tcW w:w="6138" w:type="dxa"/>
            <w:vAlign w:val="center"/>
          </w:tcPr>
          <w:p w14:paraId="26DB472A" w14:textId="1E9040A2" w:rsidR="000E0E24" w:rsidRPr="0070113D" w:rsidRDefault="00862F45" w:rsidP="000661E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novo izgrađene građevinske objekte u okviru provedbe projekta METMONIC</w:t>
            </w:r>
          </w:p>
        </w:tc>
      </w:tr>
      <w:tr w:rsidR="00862F45" w:rsidRPr="0070113D" w14:paraId="0B08CC96" w14:textId="77777777" w:rsidTr="000661E7">
        <w:tc>
          <w:tcPr>
            <w:tcW w:w="1430" w:type="dxa"/>
            <w:vAlign w:val="center"/>
          </w:tcPr>
          <w:p w14:paraId="59C4774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982F8" w14:textId="786C976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0221</w:t>
            </w:r>
          </w:p>
          <w:p w14:paraId="26CE041E" w14:textId="61211D2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880C458" w14:textId="24B916F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1017" w:type="dxa"/>
            <w:vAlign w:val="center"/>
          </w:tcPr>
          <w:p w14:paraId="0EF94ED2" w14:textId="645D0CE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150,6</w:t>
            </w:r>
          </w:p>
        </w:tc>
        <w:tc>
          <w:tcPr>
            <w:tcW w:w="6138" w:type="dxa"/>
            <w:vAlign w:val="center"/>
          </w:tcPr>
          <w:p w14:paraId="0D518284" w14:textId="4B80F9DD" w:rsidR="00862F45" w:rsidRPr="0070113D" w:rsidRDefault="00862F45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novo nabavljenu opremu  u okviru provedbe projekata AIRQ i METMONIC</w:t>
            </w:r>
          </w:p>
        </w:tc>
      </w:tr>
      <w:tr w:rsidR="00862F45" w:rsidRPr="0070113D" w14:paraId="786849B5" w14:textId="77777777" w:rsidTr="000661E7">
        <w:trPr>
          <w:trHeight w:val="708"/>
        </w:trPr>
        <w:tc>
          <w:tcPr>
            <w:tcW w:w="1430" w:type="dxa"/>
            <w:vAlign w:val="center"/>
          </w:tcPr>
          <w:p w14:paraId="6B9D46AB" w14:textId="64F5D86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lastRenderedPageBreak/>
              <w:t>0222</w:t>
            </w:r>
          </w:p>
        </w:tc>
        <w:tc>
          <w:tcPr>
            <w:tcW w:w="737" w:type="dxa"/>
            <w:vAlign w:val="center"/>
          </w:tcPr>
          <w:p w14:paraId="0BAD0676" w14:textId="15F32CF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1017" w:type="dxa"/>
            <w:vAlign w:val="center"/>
          </w:tcPr>
          <w:p w14:paraId="07DD858F" w14:textId="06EB062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78,5</w:t>
            </w:r>
          </w:p>
        </w:tc>
        <w:tc>
          <w:tcPr>
            <w:tcW w:w="6138" w:type="dxa"/>
          </w:tcPr>
          <w:p w14:paraId="2E8AA10B" w14:textId="77777777" w:rsidR="0014337B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596443" w14:textId="1B0F21A6" w:rsidR="00862F45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smanjenja je došlo zbog otpisa dijela imovine</w:t>
            </w:r>
          </w:p>
        </w:tc>
      </w:tr>
      <w:tr w:rsidR="00862F45" w:rsidRPr="0070113D" w14:paraId="69DCA770" w14:textId="77777777" w:rsidTr="000661E7">
        <w:trPr>
          <w:trHeight w:val="708"/>
        </w:trPr>
        <w:tc>
          <w:tcPr>
            <w:tcW w:w="1430" w:type="dxa"/>
            <w:vAlign w:val="center"/>
          </w:tcPr>
          <w:p w14:paraId="53E0B01F" w14:textId="4FA81BA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0223</w:t>
            </w:r>
          </w:p>
        </w:tc>
        <w:tc>
          <w:tcPr>
            <w:tcW w:w="737" w:type="dxa"/>
            <w:vAlign w:val="center"/>
          </w:tcPr>
          <w:p w14:paraId="6DD16967" w14:textId="6E1D7F1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1017" w:type="dxa"/>
            <w:vAlign w:val="center"/>
          </w:tcPr>
          <w:p w14:paraId="15C593F3" w14:textId="3F6CC75A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69,8</w:t>
            </w:r>
          </w:p>
        </w:tc>
        <w:tc>
          <w:tcPr>
            <w:tcW w:w="6138" w:type="dxa"/>
          </w:tcPr>
          <w:p w14:paraId="00864B83" w14:textId="77777777" w:rsidR="00862F45" w:rsidRPr="0070113D" w:rsidRDefault="00862F45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C98ABF" w14:textId="3B0B890D" w:rsidR="0014337B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smanjenja je došlo zbog otpisa dijela imovine</w:t>
            </w:r>
          </w:p>
        </w:tc>
      </w:tr>
      <w:tr w:rsidR="00862F45" w:rsidRPr="0070113D" w14:paraId="3521BB53" w14:textId="77777777" w:rsidTr="000661E7">
        <w:trPr>
          <w:trHeight w:val="881"/>
        </w:trPr>
        <w:tc>
          <w:tcPr>
            <w:tcW w:w="1430" w:type="dxa"/>
            <w:vAlign w:val="center"/>
          </w:tcPr>
          <w:p w14:paraId="51105CA9" w14:textId="79DAD98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0225</w:t>
            </w:r>
          </w:p>
        </w:tc>
        <w:tc>
          <w:tcPr>
            <w:tcW w:w="737" w:type="dxa"/>
            <w:vAlign w:val="center"/>
          </w:tcPr>
          <w:p w14:paraId="7BBFAB96" w14:textId="5261613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1017" w:type="dxa"/>
            <w:vAlign w:val="center"/>
          </w:tcPr>
          <w:p w14:paraId="0326A4CA" w14:textId="69B3B90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144,5</w:t>
            </w:r>
          </w:p>
        </w:tc>
        <w:tc>
          <w:tcPr>
            <w:tcW w:w="6138" w:type="dxa"/>
            <w:vAlign w:val="center"/>
          </w:tcPr>
          <w:p w14:paraId="7C8C8044" w14:textId="435EC343" w:rsidR="00862F45" w:rsidRPr="0070113D" w:rsidRDefault="0014337B" w:rsidP="00862F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novo nabavljenu opremu  u okviru provedbe projekata AIRQ i METMONIC kao i za stručne službe DHMZ-a</w:t>
            </w:r>
          </w:p>
        </w:tc>
      </w:tr>
      <w:tr w:rsidR="00862F45" w:rsidRPr="0070113D" w14:paraId="5BFC45F9" w14:textId="77777777" w:rsidTr="000661E7">
        <w:trPr>
          <w:trHeight w:val="769"/>
        </w:trPr>
        <w:tc>
          <w:tcPr>
            <w:tcW w:w="1430" w:type="dxa"/>
          </w:tcPr>
          <w:p w14:paraId="376CE8B3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69E2A4" w14:textId="171F401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0227</w:t>
            </w:r>
          </w:p>
        </w:tc>
        <w:tc>
          <w:tcPr>
            <w:tcW w:w="737" w:type="dxa"/>
          </w:tcPr>
          <w:p w14:paraId="5EBAEFE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308D6F" w14:textId="4E744D0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021</w:t>
            </w:r>
          </w:p>
        </w:tc>
        <w:tc>
          <w:tcPr>
            <w:tcW w:w="1017" w:type="dxa"/>
          </w:tcPr>
          <w:p w14:paraId="484E504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C83C32" w14:textId="20470350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  <w:tc>
          <w:tcPr>
            <w:tcW w:w="6138" w:type="dxa"/>
          </w:tcPr>
          <w:p w14:paraId="00983C00" w14:textId="77777777" w:rsidR="00862F45" w:rsidRPr="0070113D" w:rsidRDefault="00862F45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BA026F" w14:textId="6B428099" w:rsidR="0014337B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smanjenja je došlo zbog otpisa dijela imovine</w:t>
            </w:r>
          </w:p>
        </w:tc>
      </w:tr>
      <w:tr w:rsidR="00862F45" w:rsidRPr="0070113D" w14:paraId="3319CEED" w14:textId="77777777" w:rsidTr="000661E7">
        <w:trPr>
          <w:trHeight w:val="769"/>
        </w:trPr>
        <w:tc>
          <w:tcPr>
            <w:tcW w:w="1430" w:type="dxa"/>
          </w:tcPr>
          <w:p w14:paraId="20907B0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375CC7" w14:textId="05C3EA6D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0233</w:t>
            </w:r>
          </w:p>
        </w:tc>
        <w:tc>
          <w:tcPr>
            <w:tcW w:w="737" w:type="dxa"/>
          </w:tcPr>
          <w:p w14:paraId="0660F43D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3D8EFD8" w14:textId="6D71CE1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1017" w:type="dxa"/>
          </w:tcPr>
          <w:p w14:paraId="068F66AA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62DE8E" w14:textId="23391404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81,7</w:t>
            </w:r>
          </w:p>
        </w:tc>
        <w:tc>
          <w:tcPr>
            <w:tcW w:w="6138" w:type="dxa"/>
          </w:tcPr>
          <w:p w14:paraId="373A12C2" w14:textId="77777777" w:rsidR="00862F45" w:rsidRPr="0070113D" w:rsidRDefault="00862F45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29C93B" w14:textId="49EE75DE" w:rsidR="0014337B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smanjenja je došlo zbog otpisa dijela imovine</w:t>
            </w:r>
          </w:p>
        </w:tc>
      </w:tr>
      <w:tr w:rsidR="00862F45" w:rsidRPr="0070113D" w14:paraId="69EAD352" w14:textId="77777777" w:rsidTr="000661E7">
        <w:trPr>
          <w:trHeight w:val="769"/>
        </w:trPr>
        <w:tc>
          <w:tcPr>
            <w:tcW w:w="1430" w:type="dxa"/>
          </w:tcPr>
          <w:p w14:paraId="201B498C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4E6DDE" w14:textId="5CC09293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02923</w:t>
            </w:r>
          </w:p>
        </w:tc>
        <w:tc>
          <w:tcPr>
            <w:tcW w:w="737" w:type="dxa"/>
          </w:tcPr>
          <w:p w14:paraId="150FAE10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1D1E9F" w14:textId="75F2EA1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1017" w:type="dxa"/>
          </w:tcPr>
          <w:p w14:paraId="6A97574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99B10F" w14:textId="0C2CCC3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6138" w:type="dxa"/>
          </w:tcPr>
          <w:p w14:paraId="042A682A" w14:textId="46F3F2C1" w:rsidR="0014337B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Razlog smanjenju je otpis dijela imovine, a time ujedno i osnovice za ispravak vrijednosti</w:t>
            </w:r>
          </w:p>
        </w:tc>
      </w:tr>
      <w:tr w:rsidR="00862F45" w:rsidRPr="0070113D" w14:paraId="4319719A" w14:textId="77777777" w:rsidTr="000661E7">
        <w:trPr>
          <w:trHeight w:val="769"/>
        </w:trPr>
        <w:tc>
          <w:tcPr>
            <w:tcW w:w="1430" w:type="dxa"/>
          </w:tcPr>
          <w:p w14:paraId="65367CEE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5CE01E" w14:textId="520D11A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051</w:t>
            </w:r>
          </w:p>
        </w:tc>
        <w:tc>
          <w:tcPr>
            <w:tcW w:w="737" w:type="dxa"/>
          </w:tcPr>
          <w:p w14:paraId="0768833E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06680B" w14:textId="172DC094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1017" w:type="dxa"/>
          </w:tcPr>
          <w:p w14:paraId="5F71869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CF9AC2" w14:textId="2D2CBF4E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1.151,8</w:t>
            </w:r>
          </w:p>
        </w:tc>
        <w:tc>
          <w:tcPr>
            <w:tcW w:w="6138" w:type="dxa"/>
          </w:tcPr>
          <w:p w14:paraId="4070D147" w14:textId="5897B062" w:rsidR="00862F45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izgradnju građevinskih objekata u okviru projekta METMONIC</w:t>
            </w:r>
          </w:p>
        </w:tc>
      </w:tr>
      <w:tr w:rsidR="00862F45" w:rsidRPr="0070113D" w14:paraId="1D10FF82" w14:textId="77777777" w:rsidTr="000661E7">
        <w:trPr>
          <w:trHeight w:val="769"/>
        </w:trPr>
        <w:tc>
          <w:tcPr>
            <w:tcW w:w="1430" w:type="dxa"/>
          </w:tcPr>
          <w:p w14:paraId="184E582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F557E7" w14:textId="2C439D44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052</w:t>
            </w:r>
          </w:p>
        </w:tc>
        <w:tc>
          <w:tcPr>
            <w:tcW w:w="737" w:type="dxa"/>
          </w:tcPr>
          <w:p w14:paraId="29FEEF9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A9C845" w14:textId="1706680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017" w:type="dxa"/>
          </w:tcPr>
          <w:p w14:paraId="634A37BB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4A5E06F" w14:textId="1B2F206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153,6</w:t>
            </w:r>
          </w:p>
        </w:tc>
        <w:tc>
          <w:tcPr>
            <w:tcW w:w="6138" w:type="dxa"/>
          </w:tcPr>
          <w:p w14:paraId="3A9FBC8B" w14:textId="3AAFE23F" w:rsidR="00862F45" w:rsidRPr="0070113D" w:rsidRDefault="0014337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nabavu opreme u okviru projekta METMONIC</w:t>
            </w:r>
          </w:p>
        </w:tc>
      </w:tr>
      <w:tr w:rsidR="004504D1" w:rsidRPr="0070113D" w14:paraId="3DFC5959" w14:textId="77777777" w:rsidTr="000661E7">
        <w:trPr>
          <w:trHeight w:val="769"/>
        </w:trPr>
        <w:tc>
          <w:tcPr>
            <w:tcW w:w="1430" w:type="dxa"/>
          </w:tcPr>
          <w:p w14:paraId="34EFCD48" w14:textId="77777777" w:rsidR="004504D1" w:rsidRPr="0070113D" w:rsidRDefault="004504D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64E12E" w14:textId="7D18967B" w:rsidR="004504D1" w:rsidRPr="0070113D" w:rsidRDefault="004504D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056</w:t>
            </w:r>
          </w:p>
        </w:tc>
        <w:tc>
          <w:tcPr>
            <w:tcW w:w="737" w:type="dxa"/>
          </w:tcPr>
          <w:p w14:paraId="68E2933E" w14:textId="77777777" w:rsidR="004504D1" w:rsidRPr="0070113D" w:rsidRDefault="004504D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1F93FB" w14:textId="20AB9E46" w:rsidR="004504D1" w:rsidRPr="0070113D" w:rsidRDefault="004504D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057</w:t>
            </w:r>
          </w:p>
        </w:tc>
        <w:tc>
          <w:tcPr>
            <w:tcW w:w="1017" w:type="dxa"/>
          </w:tcPr>
          <w:p w14:paraId="02B2E6B0" w14:textId="77777777" w:rsidR="004504D1" w:rsidRDefault="004504D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7CB7CF" w14:textId="2448967A" w:rsidR="00E53CC1" w:rsidRPr="0070113D" w:rsidRDefault="00E53CC1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38" w:type="dxa"/>
          </w:tcPr>
          <w:p w14:paraId="75A45FCE" w14:textId="6F9DA49A" w:rsidR="004504D1" w:rsidRPr="0070113D" w:rsidRDefault="004504D1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nabavu nefinancijske imovine u okviru projekata AIRQ i METMONIC</w:t>
            </w:r>
          </w:p>
        </w:tc>
      </w:tr>
      <w:tr w:rsidR="00862F45" w:rsidRPr="0070113D" w14:paraId="3DEEE72B" w14:textId="77777777" w:rsidTr="000661E7">
        <w:trPr>
          <w:trHeight w:val="769"/>
        </w:trPr>
        <w:tc>
          <w:tcPr>
            <w:tcW w:w="1430" w:type="dxa"/>
            <w:vAlign w:val="center"/>
          </w:tcPr>
          <w:p w14:paraId="3026DDFE" w14:textId="0F4EDC33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737" w:type="dxa"/>
            <w:vAlign w:val="center"/>
          </w:tcPr>
          <w:p w14:paraId="5E1F22DA" w14:textId="67ECF33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1017" w:type="dxa"/>
            <w:vAlign w:val="center"/>
          </w:tcPr>
          <w:p w14:paraId="6B88ED45" w14:textId="08F4C4CE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372,8</w:t>
            </w:r>
          </w:p>
        </w:tc>
        <w:tc>
          <w:tcPr>
            <w:tcW w:w="6138" w:type="dxa"/>
          </w:tcPr>
          <w:p w14:paraId="7F03555E" w14:textId="11E1ED9B" w:rsidR="00862F45" w:rsidRPr="0070113D" w:rsidRDefault="004504D1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predujam za projekt izgradnje postaja za praćenje kvalitete zraka</w:t>
            </w:r>
          </w:p>
        </w:tc>
      </w:tr>
      <w:tr w:rsidR="00862F45" w:rsidRPr="0070113D" w14:paraId="23000C9F" w14:textId="77777777" w:rsidTr="000661E7">
        <w:trPr>
          <w:trHeight w:val="769"/>
        </w:trPr>
        <w:tc>
          <w:tcPr>
            <w:tcW w:w="1430" w:type="dxa"/>
          </w:tcPr>
          <w:p w14:paraId="6D3AFD0C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D1BC07" w14:textId="001728EE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1632</w:t>
            </w:r>
          </w:p>
        </w:tc>
        <w:tc>
          <w:tcPr>
            <w:tcW w:w="737" w:type="dxa"/>
          </w:tcPr>
          <w:p w14:paraId="2D3B4EDF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C80DAC" w14:textId="7A74449A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017" w:type="dxa"/>
          </w:tcPr>
          <w:p w14:paraId="09DF88C4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C87195" w14:textId="0560A539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17,6</w:t>
            </w:r>
          </w:p>
        </w:tc>
        <w:tc>
          <w:tcPr>
            <w:tcW w:w="6138" w:type="dxa"/>
          </w:tcPr>
          <w:p w14:paraId="69D1094B" w14:textId="77777777" w:rsidR="00812D10" w:rsidRDefault="00812D10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9BA168D" w14:textId="2FABB87B" w:rsidR="00862F45" w:rsidRPr="0070113D" w:rsidRDefault="004504D1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Razlog smanjenju </w:t>
            </w:r>
            <w:r w:rsidR="00812D10">
              <w:rPr>
                <w:rFonts w:ascii="Arial" w:hAnsi="Arial" w:cs="Arial"/>
                <w:sz w:val="24"/>
                <w:szCs w:val="24"/>
              </w:rPr>
              <w:t>su završeni projekti</w:t>
            </w:r>
          </w:p>
        </w:tc>
      </w:tr>
      <w:tr w:rsidR="00862F45" w:rsidRPr="0070113D" w14:paraId="487230B8" w14:textId="77777777" w:rsidTr="000661E7">
        <w:trPr>
          <w:trHeight w:val="769"/>
        </w:trPr>
        <w:tc>
          <w:tcPr>
            <w:tcW w:w="1430" w:type="dxa"/>
          </w:tcPr>
          <w:p w14:paraId="47E861C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69DFE6" w14:textId="739098E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737" w:type="dxa"/>
          </w:tcPr>
          <w:p w14:paraId="0670E4AC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7FA812" w14:textId="5B442A60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017" w:type="dxa"/>
          </w:tcPr>
          <w:p w14:paraId="504E063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A7431F" w14:textId="48EF79E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67,9</w:t>
            </w:r>
          </w:p>
        </w:tc>
        <w:tc>
          <w:tcPr>
            <w:tcW w:w="6138" w:type="dxa"/>
          </w:tcPr>
          <w:p w14:paraId="55C6D8A6" w14:textId="03AC4740" w:rsidR="00205D17" w:rsidRPr="0070113D" w:rsidRDefault="00205D17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smanjenja potraživanja došlo je zbog povećane kontrole u naplati prihoda</w:t>
            </w:r>
          </w:p>
        </w:tc>
      </w:tr>
      <w:tr w:rsidR="00862F45" w:rsidRPr="0070113D" w14:paraId="3D76ED91" w14:textId="77777777" w:rsidTr="000661E7">
        <w:trPr>
          <w:trHeight w:val="769"/>
        </w:trPr>
        <w:tc>
          <w:tcPr>
            <w:tcW w:w="1430" w:type="dxa"/>
          </w:tcPr>
          <w:p w14:paraId="787AAFB8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E6A6426" w14:textId="6398C970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737" w:type="dxa"/>
          </w:tcPr>
          <w:p w14:paraId="541A576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90DE12" w14:textId="6B6AB729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017" w:type="dxa"/>
          </w:tcPr>
          <w:p w14:paraId="6DBE9AFD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A43154" w14:textId="64F3B2C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6138" w:type="dxa"/>
          </w:tcPr>
          <w:p w14:paraId="380546B9" w14:textId="1C57FF06" w:rsidR="00205D17" w:rsidRPr="0070113D" w:rsidRDefault="00205D17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povećanja je došlo zbog prijenosa većeg iznosa  neutrošenih vlastitih prihoda iz prethodnih godina</w:t>
            </w:r>
          </w:p>
        </w:tc>
      </w:tr>
      <w:tr w:rsidR="00862F45" w:rsidRPr="0070113D" w14:paraId="67215465" w14:textId="77777777" w:rsidTr="000661E7">
        <w:trPr>
          <w:trHeight w:val="769"/>
        </w:trPr>
        <w:tc>
          <w:tcPr>
            <w:tcW w:w="1430" w:type="dxa"/>
          </w:tcPr>
          <w:p w14:paraId="7E149A0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5A4673" w14:textId="45411FC2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737" w:type="dxa"/>
          </w:tcPr>
          <w:p w14:paraId="49CA0C4B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4D8C02" w14:textId="77ABD10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017" w:type="dxa"/>
          </w:tcPr>
          <w:p w14:paraId="60F8AFE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010797" w14:textId="68C2EAEA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36,9</w:t>
            </w:r>
          </w:p>
        </w:tc>
        <w:tc>
          <w:tcPr>
            <w:tcW w:w="6138" w:type="dxa"/>
          </w:tcPr>
          <w:p w14:paraId="708CDDAE" w14:textId="10800303" w:rsidR="00205D17" w:rsidRPr="0070113D" w:rsidRDefault="00205D17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smanjenja je došlo zbog otpisa potraživanja zbog zastare</w:t>
            </w:r>
          </w:p>
        </w:tc>
      </w:tr>
      <w:tr w:rsidR="00862F45" w:rsidRPr="0070113D" w14:paraId="240FD802" w14:textId="77777777" w:rsidTr="000661E7">
        <w:trPr>
          <w:trHeight w:val="769"/>
        </w:trPr>
        <w:tc>
          <w:tcPr>
            <w:tcW w:w="1430" w:type="dxa"/>
          </w:tcPr>
          <w:p w14:paraId="582B1AD6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240E6D" w14:textId="22D4EF63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737" w:type="dxa"/>
          </w:tcPr>
          <w:p w14:paraId="6B16D5B3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B4A5C24" w14:textId="0139DD82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017" w:type="dxa"/>
          </w:tcPr>
          <w:p w14:paraId="4DD6CAFA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BDA454" w14:textId="34172979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2.502,6</w:t>
            </w:r>
          </w:p>
        </w:tc>
        <w:tc>
          <w:tcPr>
            <w:tcW w:w="6138" w:type="dxa"/>
          </w:tcPr>
          <w:p w14:paraId="1C55D66D" w14:textId="79B9FFA9" w:rsidR="00862F45" w:rsidRPr="0070113D" w:rsidRDefault="00205D17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Razlog povećanju </w:t>
            </w:r>
            <w:r w:rsidR="00B86D1C">
              <w:rPr>
                <w:rFonts w:ascii="Arial" w:hAnsi="Arial" w:cs="Arial"/>
                <w:sz w:val="24"/>
                <w:szCs w:val="24"/>
              </w:rPr>
              <w:t xml:space="preserve">potraživanja su izdani računi za utvrđeni manjak u skladu s odlukom čelnika o rezultatima provedenog popisa imovine i obveza za 2021. </w:t>
            </w:r>
          </w:p>
        </w:tc>
      </w:tr>
      <w:tr w:rsidR="00862F45" w:rsidRPr="0070113D" w14:paraId="2EA66D28" w14:textId="77777777" w:rsidTr="000661E7">
        <w:trPr>
          <w:trHeight w:val="769"/>
        </w:trPr>
        <w:tc>
          <w:tcPr>
            <w:tcW w:w="1430" w:type="dxa"/>
          </w:tcPr>
          <w:p w14:paraId="249BA9DD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AACB43" w14:textId="0BBAC8C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737" w:type="dxa"/>
          </w:tcPr>
          <w:p w14:paraId="3C3C689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42FC2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173</w:t>
            </w:r>
          </w:p>
          <w:p w14:paraId="6C446E94" w14:textId="69408ED3" w:rsidR="00862F45" w:rsidRPr="0070113D" w:rsidRDefault="00862F45" w:rsidP="00862F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14:paraId="26089B6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53082C" w14:textId="022AAF6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148,1</w:t>
            </w:r>
          </w:p>
        </w:tc>
        <w:tc>
          <w:tcPr>
            <w:tcW w:w="6138" w:type="dxa"/>
          </w:tcPr>
          <w:p w14:paraId="446D42BF" w14:textId="2E847B68" w:rsidR="00862F45" w:rsidRPr="0070113D" w:rsidRDefault="006F2D4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povećanju je veći broj zaprimljenih računa kao posljedica provedenih nabava</w:t>
            </w:r>
          </w:p>
        </w:tc>
      </w:tr>
      <w:tr w:rsidR="00862F45" w:rsidRPr="0070113D" w14:paraId="0A401AE2" w14:textId="77777777" w:rsidTr="000661E7">
        <w:trPr>
          <w:trHeight w:val="769"/>
        </w:trPr>
        <w:tc>
          <w:tcPr>
            <w:tcW w:w="1430" w:type="dxa"/>
          </w:tcPr>
          <w:p w14:paraId="7DE43520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7A6F99" w14:textId="31C6B0F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737" w:type="dxa"/>
          </w:tcPr>
          <w:p w14:paraId="25891F2B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182475" w14:textId="31F5218A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017" w:type="dxa"/>
          </w:tcPr>
          <w:p w14:paraId="42F32DFB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3BA194" w14:textId="29569E5F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125,1</w:t>
            </w:r>
          </w:p>
        </w:tc>
        <w:tc>
          <w:tcPr>
            <w:tcW w:w="6138" w:type="dxa"/>
          </w:tcPr>
          <w:p w14:paraId="65B27505" w14:textId="3B0EAA9F" w:rsidR="006F2D4B" w:rsidRPr="0070113D" w:rsidRDefault="006F2D4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povećanja je došlo zbog većih iznosa poreza na dodanu vrijednost</w:t>
            </w:r>
            <w:r w:rsidR="00503F88">
              <w:rPr>
                <w:rFonts w:ascii="Arial" w:hAnsi="Arial" w:cs="Arial"/>
                <w:sz w:val="24"/>
                <w:szCs w:val="24"/>
              </w:rPr>
              <w:t xml:space="preserve">  i zbog veće vrijednosti postupaka javne nabave na projektima što je rezultiralo i većim iznosima jamčevnih pologa </w:t>
            </w:r>
          </w:p>
        </w:tc>
      </w:tr>
      <w:tr w:rsidR="00862F45" w:rsidRPr="0070113D" w14:paraId="2543F50A" w14:textId="77777777" w:rsidTr="000661E7">
        <w:trPr>
          <w:trHeight w:val="769"/>
        </w:trPr>
        <w:tc>
          <w:tcPr>
            <w:tcW w:w="1430" w:type="dxa"/>
          </w:tcPr>
          <w:p w14:paraId="48941377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82EE15" w14:textId="5D8F7BE8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9111</w:t>
            </w:r>
          </w:p>
        </w:tc>
        <w:tc>
          <w:tcPr>
            <w:tcW w:w="737" w:type="dxa"/>
          </w:tcPr>
          <w:p w14:paraId="3625C5FA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8F4A652" w14:textId="4ABC856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017" w:type="dxa"/>
          </w:tcPr>
          <w:p w14:paraId="57058C2A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9D7A06" w14:textId="24950B43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192,4</w:t>
            </w:r>
          </w:p>
        </w:tc>
        <w:tc>
          <w:tcPr>
            <w:tcW w:w="6138" w:type="dxa"/>
          </w:tcPr>
          <w:p w14:paraId="105EF0AE" w14:textId="5190595A" w:rsidR="009506BD" w:rsidRPr="0070113D" w:rsidRDefault="00AD0CFD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povećanju je nabavljena imovina veće vrijednosti, a u okviru projekata AIRQ i METMONIC</w:t>
            </w:r>
          </w:p>
        </w:tc>
      </w:tr>
      <w:tr w:rsidR="00862F45" w:rsidRPr="0070113D" w14:paraId="39A972DE" w14:textId="77777777" w:rsidTr="000661E7">
        <w:trPr>
          <w:trHeight w:val="769"/>
        </w:trPr>
        <w:tc>
          <w:tcPr>
            <w:tcW w:w="1430" w:type="dxa"/>
          </w:tcPr>
          <w:p w14:paraId="4E0B1CC6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4C484B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5E239AF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A2891FA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F69BB7" w14:textId="31751796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737" w:type="dxa"/>
          </w:tcPr>
          <w:p w14:paraId="6654455B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119E23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4DBDFB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20B208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C07686" w14:textId="607E2365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017" w:type="dxa"/>
          </w:tcPr>
          <w:p w14:paraId="6C36861D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A0A740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DC0D84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14E51D1" w14:textId="77777777" w:rsidR="004B2C82" w:rsidRDefault="004B2C82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E8FD19D" w14:textId="49FF46DC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1.236,8</w:t>
            </w:r>
          </w:p>
        </w:tc>
        <w:tc>
          <w:tcPr>
            <w:tcW w:w="6138" w:type="dxa"/>
          </w:tcPr>
          <w:p w14:paraId="4E695332" w14:textId="5E5E85BC" w:rsidR="00862F45" w:rsidRPr="0070113D" w:rsidRDefault="00062C06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Popis ugovorenih odnosa i slično koji uz ispunjenje određenih uvjeta mogu postati obveza ili imovina nalazi se u tablicama</w:t>
            </w:r>
            <w:r w:rsidR="004B2C82">
              <w:rPr>
                <w:rFonts w:ascii="Arial" w:hAnsi="Arial" w:cs="Arial"/>
                <w:sz w:val="24"/>
                <w:szCs w:val="24"/>
              </w:rPr>
              <w:t xml:space="preserve"> 1 i 2</w:t>
            </w:r>
            <w:r>
              <w:rPr>
                <w:rFonts w:ascii="Arial" w:hAnsi="Arial" w:cs="Arial"/>
                <w:sz w:val="24"/>
                <w:szCs w:val="24"/>
              </w:rPr>
              <w:t xml:space="preserve"> koje su prilog ovih Bilješki. Radi se o tuđoj imovini danoj na korištenje DHMZ-u i analitičkoj evidenciji primljenih jamstava, bankovnih garancija i </w:t>
            </w:r>
            <w:r w:rsidR="001412C0">
              <w:rPr>
                <w:rFonts w:ascii="Arial" w:hAnsi="Arial" w:cs="Arial"/>
                <w:sz w:val="24"/>
                <w:szCs w:val="24"/>
              </w:rPr>
              <w:t>potencijalnih obveza na temelju zaključenih ugovora.</w:t>
            </w:r>
            <w:r w:rsidR="00B82018">
              <w:rPr>
                <w:rFonts w:ascii="Arial" w:hAnsi="Arial" w:cs="Arial"/>
                <w:sz w:val="24"/>
                <w:szCs w:val="24"/>
              </w:rPr>
              <w:t xml:space="preserve"> Također, uključuje potraživanja od županija</w:t>
            </w:r>
            <w:r w:rsidR="00D234F5">
              <w:rPr>
                <w:rFonts w:ascii="Arial" w:hAnsi="Arial" w:cs="Arial"/>
                <w:sz w:val="24"/>
                <w:szCs w:val="24"/>
              </w:rPr>
              <w:t xml:space="preserve"> po Zakonu o obrani od tuče.</w:t>
            </w:r>
            <w:r w:rsidR="001412C0">
              <w:rPr>
                <w:rFonts w:ascii="Arial" w:hAnsi="Arial" w:cs="Arial"/>
                <w:sz w:val="24"/>
                <w:szCs w:val="24"/>
              </w:rPr>
              <w:t xml:space="preserve"> Sve navedene vrijed</w:t>
            </w:r>
            <w:r w:rsidR="00F05EC2">
              <w:rPr>
                <w:rFonts w:ascii="Arial" w:hAnsi="Arial" w:cs="Arial"/>
                <w:sz w:val="24"/>
                <w:szCs w:val="24"/>
              </w:rPr>
              <w:t>nosti knjigovodstveno su iskazane na poziciji izvanbilančne evidencije.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2F45" w:rsidRPr="0070113D" w14:paraId="5837496C" w14:textId="77777777" w:rsidTr="000661E7">
        <w:trPr>
          <w:trHeight w:val="769"/>
        </w:trPr>
        <w:tc>
          <w:tcPr>
            <w:tcW w:w="1430" w:type="dxa"/>
          </w:tcPr>
          <w:p w14:paraId="06D82964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566620" w14:textId="153EEFFE" w:rsidR="00862F45" w:rsidRPr="0070113D" w:rsidRDefault="00C11E26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62F45" w:rsidRPr="0070113D">
              <w:rPr>
                <w:rFonts w:ascii="Arial" w:hAnsi="Arial" w:cs="Arial"/>
                <w:sz w:val="24"/>
                <w:szCs w:val="24"/>
              </w:rPr>
              <w:t>io 17</w:t>
            </w:r>
          </w:p>
        </w:tc>
        <w:tc>
          <w:tcPr>
            <w:tcW w:w="737" w:type="dxa"/>
          </w:tcPr>
          <w:p w14:paraId="1B3251B0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98A958" w14:textId="42A5E593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017" w:type="dxa"/>
          </w:tcPr>
          <w:p w14:paraId="4A5D6A05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A59F5C" w14:textId="7E1DA792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2.502,6</w:t>
            </w:r>
          </w:p>
        </w:tc>
        <w:tc>
          <w:tcPr>
            <w:tcW w:w="6138" w:type="dxa"/>
          </w:tcPr>
          <w:p w14:paraId="40DF7925" w14:textId="1D2C102D" w:rsidR="00862F45" w:rsidRPr="0070113D" w:rsidRDefault="00C11E26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povećanju su izdani računi za utvrđeni manjak u skladu s odlukom čelnika o rezultatima provedenog popisa imovine i obveza za 2021.</w:t>
            </w:r>
          </w:p>
        </w:tc>
      </w:tr>
      <w:tr w:rsidR="00862F45" w:rsidRPr="0070113D" w14:paraId="4568374C" w14:textId="77777777" w:rsidTr="000661E7">
        <w:trPr>
          <w:trHeight w:val="769"/>
        </w:trPr>
        <w:tc>
          <w:tcPr>
            <w:tcW w:w="1430" w:type="dxa"/>
          </w:tcPr>
          <w:p w14:paraId="2409174F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D49819" w14:textId="7A5D3822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12911</w:t>
            </w:r>
          </w:p>
        </w:tc>
        <w:tc>
          <w:tcPr>
            <w:tcW w:w="737" w:type="dxa"/>
          </w:tcPr>
          <w:p w14:paraId="4E2F84EF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DBDBB6" w14:textId="5CD13F60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017" w:type="dxa"/>
          </w:tcPr>
          <w:p w14:paraId="5D662E45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88ACDD" w14:textId="3357478B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137,3</w:t>
            </w:r>
          </w:p>
        </w:tc>
        <w:tc>
          <w:tcPr>
            <w:tcW w:w="6138" w:type="dxa"/>
          </w:tcPr>
          <w:p w14:paraId="435C424C" w14:textId="26BF3C0C" w:rsidR="00862F45" w:rsidRPr="0070113D" w:rsidRDefault="00FB2EE7" w:rsidP="00FB2EE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Potraživanja se odnose na bolovanja iznad 42 dana -HZZO koja još nisu refundirana</w:t>
            </w:r>
          </w:p>
        </w:tc>
      </w:tr>
      <w:tr w:rsidR="00862F45" w:rsidRPr="0070113D" w14:paraId="1ADE318F" w14:textId="77777777" w:rsidTr="000661E7">
        <w:trPr>
          <w:trHeight w:val="769"/>
        </w:trPr>
        <w:tc>
          <w:tcPr>
            <w:tcW w:w="1430" w:type="dxa"/>
          </w:tcPr>
          <w:p w14:paraId="2A52F580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6534895" w14:textId="69378D55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16721</w:t>
            </w:r>
          </w:p>
        </w:tc>
        <w:tc>
          <w:tcPr>
            <w:tcW w:w="737" w:type="dxa"/>
          </w:tcPr>
          <w:p w14:paraId="17BE3A59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4144149" w14:textId="4803D98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017" w:type="dxa"/>
          </w:tcPr>
          <w:p w14:paraId="270F442A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8198075" w14:textId="06122CF0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153,7</w:t>
            </w:r>
          </w:p>
        </w:tc>
        <w:tc>
          <w:tcPr>
            <w:tcW w:w="6138" w:type="dxa"/>
          </w:tcPr>
          <w:p w14:paraId="0561FAC6" w14:textId="5980C8AC" w:rsidR="00862F45" w:rsidRPr="0070113D" w:rsidRDefault="00FB2EE7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povećanja je došlo zbog povećane naplate vlastitih prihoda i većih iznosa primljenih jamčevina</w:t>
            </w:r>
          </w:p>
        </w:tc>
      </w:tr>
      <w:tr w:rsidR="00862F45" w:rsidRPr="0070113D" w14:paraId="05262B3F" w14:textId="77777777" w:rsidTr="000661E7">
        <w:trPr>
          <w:trHeight w:val="769"/>
        </w:trPr>
        <w:tc>
          <w:tcPr>
            <w:tcW w:w="1430" w:type="dxa"/>
          </w:tcPr>
          <w:p w14:paraId="3A93B99E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4B6665" w14:textId="7C23ED03" w:rsidR="00862F45" w:rsidRPr="0070113D" w:rsidRDefault="00C11E26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862F45" w:rsidRPr="0070113D">
              <w:rPr>
                <w:rFonts w:ascii="Arial" w:hAnsi="Arial" w:cs="Arial"/>
                <w:sz w:val="24"/>
                <w:szCs w:val="24"/>
              </w:rPr>
              <w:t>io 24</w:t>
            </w:r>
          </w:p>
        </w:tc>
        <w:tc>
          <w:tcPr>
            <w:tcW w:w="737" w:type="dxa"/>
          </w:tcPr>
          <w:p w14:paraId="6D27CEA3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A3D961" w14:textId="76DAC5D1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017" w:type="dxa"/>
          </w:tcPr>
          <w:p w14:paraId="5A9F27FF" w14:textId="77777777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9D729EA" w14:textId="0460D4AD" w:rsidR="00862F45" w:rsidRPr="0070113D" w:rsidRDefault="00862F45" w:rsidP="00862F4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6138" w:type="dxa"/>
          </w:tcPr>
          <w:p w14:paraId="3EF67113" w14:textId="77777777" w:rsidR="00DD25EB" w:rsidRDefault="00DD25EB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6FE161" w14:textId="65C12D5F" w:rsidR="00862F45" w:rsidRPr="0070113D" w:rsidRDefault="00572F84" w:rsidP="00862F4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Razlog smanjenju je redovno plaćanje dospjelih obveza.</w:t>
            </w:r>
          </w:p>
        </w:tc>
      </w:tr>
    </w:tbl>
    <w:p w14:paraId="5552C6B6" w14:textId="77777777" w:rsidR="000E0E24" w:rsidRPr="0070113D" w:rsidRDefault="000E0E24" w:rsidP="00F93DEE">
      <w:pPr>
        <w:rPr>
          <w:rFonts w:ascii="Arial" w:hAnsi="Arial" w:cs="Arial"/>
          <w:b/>
          <w:bCs/>
          <w:sz w:val="24"/>
          <w:szCs w:val="24"/>
        </w:rPr>
      </w:pPr>
    </w:p>
    <w:p w14:paraId="6FFDD723" w14:textId="78333EDD" w:rsidR="004727FB" w:rsidRPr="0070113D" w:rsidRDefault="004727FB" w:rsidP="00F93DEE">
      <w:pPr>
        <w:rPr>
          <w:rFonts w:ascii="Arial" w:hAnsi="Arial" w:cs="Arial"/>
          <w:sz w:val="24"/>
          <w:szCs w:val="24"/>
        </w:rPr>
      </w:pPr>
    </w:p>
    <w:p w14:paraId="60FFACE1" w14:textId="07AF94BE" w:rsidR="004727FB" w:rsidRPr="0070113D" w:rsidRDefault="004727FB" w:rsidP="00F93DEE">
      <w:pPr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IZVJEŠTAJ O PRIHODIMA I RASHODIMA, PRIMICIMA I IZDACIMA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430"/>
        <w:gridCol w:w="737"/>
        <w:gridCol w:w="1017"/>
        <w:gridCol w:w="6138"/>
      </w:tblGrid>
      <w:tr w:rsidR="0030710C" w:rsidRPr="0070113D" w14:paraId="4429BE70" w14:textId="77777777" w:rsidTr="007C68CD">
        <w:trPr>
          <w:trHeight w:val="981"/>
        </w:trPr>
        <w:tc>
          <w:tcPr>
            <w:tcW w:w="1430" w:type="dxa"/>
            <w:vAlign w:val="center"/>
          </w:tcPr>
          <w:p w14:paraId="675471EF" w14:textId="77777777" w:rsidR="0030710C" w:rsidRPr="0070113D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Račun iz računskog plana</w:t>
            </w:r>
          </w:p>
        </w:tc>
        <w:tc>
          <w:tcPr>
            <w:tcW w:w="737" w:type="dxa"/>
            <w:vAlign w:val="center"/>
          </w:tcPr>
          <w:p w14:paraId="2DA3BC3C" w14:textId="77777777" w:rsidR="0030710C" w:rsidRPr="0070113D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AOP</w:t>
            </w:r>
          </w:p>
        </w:tc>
        <w:tc>
          <w:tcPr>
            <w:tcW w:w="1017" w:type="dxa"/>
            <w:vAlign w:val="center"/>
          </w:tcPr>
          <w:p w14:paraId="7D791E8A" w14:textId="77777777" w:rsidR="0030710C" w:rsidRPr="0070113D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Indeks</w:t>
            </w:r>
          </w:p>
        </w:tc>
        <w:tc>
          <w:tcPr>
            <w:tcW w:w="6138" w:type="dxa"/>
            <w:vAlign w:val="center"/>
          </w:tcPr>
          <w:p w14:paraId="2A957EAF" w14:textId="77777777" w:rsidR="0030710C" w:rsidRPr="0070113D" w:rsidRDefault="0030710C" w:rsidP="007A5B80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13D">
              <w:rPr>
                <w:rFonts w:ascii="Arial" w:hAnsi="Arial" w:cs="Arial"/>
                <w:b/>
                <w:sz w:val="24"/>
                <w:szCs w:val="24"/>
              </w:rPr>
              <w:t>Bilješka</w:t>
            </w:r>
          </w:p>
        </w:tc>
      </w:tr>
      <w:tr w:rsidR="00FA3BF2" w:rsidRPr="0070113D" w14:paraId="4EB7EB8B" w14:textId="77777777" w:rsidTr="007C68CD">
        <w:trPr>
          <w:trHeight w:val="981"/>
        </w:trPr>
        <w:tc>
          <w:tcPr>
            <w:tcW w:w="1430" w:type="dxa"/>
            <w:vAlign w:val="center"/>
          </w:tcPr>
          <w:p w14:paraId="6B74E682" w14:textId="1523E243" w:rsidR="00FA3BF2" w:rsidRPr="0070113D" w:rsidRDefault="00FA3BF2" w:rsidP="007A5B8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6321</w:t>
            </w:r>
          </w:p>
        </w:tc>
        <w:tc>
          <w:tcPr>
            <w:tcW w:w="737" w:type="dxa"/>
            <w:vAlign w:val="center"/>
          </w:tcPr>
          <w:p w14:paraId="7EBC0275" w14:textId="57761F29" w:rsidR="00FA3BF2" w:rsidRPr="0070113D" w:rsidRDefault="00206FF3" w:rsidP="007A5B8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050</w:t>
            </w:r>
          </w:p>
        </w:tc>
        <w:tc>
          <w:tcPr>
            <w:tcW w:w="1017" w:type="dxa"/>
            <w:vAlign w:val="center"/>
          </w:tcPr>
          <w:p w14:paraId="0DB73ED0" w14:textId="7BC041F3" w:rsidR="00FA3BF2" w:rsidRPr="0070113D" w:rsidRDefault="00206FF3" w:rsidP="007A5B80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76,7</w:t>
            </w:r>
          </w:p>
        </w:tc>
        <w:tc>
          <w:tcPr>
            <w:tcW w:w="6138" w:type="dxa"/>
            <w:vAlign w:val="center"/>
          </w:tcPr>
          <w:p w14:paraId="49F1723A" w14:textId="4ED89461" w:rsidR="00FA3BF2" w:rsidRPr="0070113D" w:rsidRDefault="00206FF3" w:rsidP="00206FF3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0113D">
              <w:rPr>
                <w:rFonts w:ascii="Arial" w:hAnsi="Arial" w:cs="Arial"/>
                <w:bCs/>
                <w:sz w:val="24"/>
                <w:szCs w:val="24"/>
              </w:rPr>
              <w:t>Smanjenje tekućih pomoći od međunar</w:t>
            </w:r>
            <w:r w:rsidR="00DD25EB">
              <w:rPr>
                <w:rFonts w:ascii="Arial" w:hAnsi="Arial" w:cs="Arial"/>
                <w:bCs/>
                <w:sz w:val="24"/>
                <w:szCs w:val="24"/>
              </w:rPr>
              <w:t>o</w:t>
            </w:r>
            <w:r w:rsidRPr="0070113D">
              <w:rPr>
                <w:rFonts w:ascii="Arial" w:hAnsi="Arial" w:cs="Arial"/>
                <w:bCs/>
                <w:sz w:val="24"/>
                <w:szCs w:val="24"/>
              </w:rPr>
              <w:t>dnih organizacija posljedica je završetka međunarodnih projekata</w:t>
            </w:r>
          </w:p>
        </w:tc>
      </w:tr>
      <w:tr w:rsidR="00B40C45" w:rsidRPr="0070113D" w14:paraId="47EACAF9" w14:textId="77777777" w:rsidTr="006C38E0">
        <w:trPr>
          <w:trHeight w:val="581"/>
        </w:trPr>
        <w:tc>
          <w:tcPr>
            <w:tcW w:w="1430" w:type="dxa"/>
            <w:vAlign w:val="center"/>
          </w:tcPr>
          <w:p w14:paraId="2B732BFF" w14:textId="77777777" w:rsidR="00B40C45" w:rsidRPr="0070113D" w:rsidRDefault="00B40C45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6324</w:t>
            </w:r>
          </w:p>
        </w:tc>
        <w:tc>
          <w:tcPr>
            <w:tcW w:w="737" w:type="dxa"/>
            <w:vAlign w:val="center"/>
          </w:tcPr>
          <w:p w14:paraId="7C6B8CC8" w14:textId="77777777" w:rsidR="00B40C45" w:rsidRPr="0070113D" w:rsidRDefault="00B40C45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1017" w:type="dxa"/>
            <w:vAlign w:val="center"/>
          </w:tcPr>
          <w:p w14:paraId="4504C8DF" w14:textId="2FCB56E5" w:rsidR="00B40C45" w:rsidRPr="0070113D" w:rsidRDefault="005A5834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265,4</w:t>
            </w:r>
          </w:p>
        </w:tc>
        <w:tc>
          <w:tcPr>
            <w:tcW w:w="6138" w:type="dxa"/>
            <w:vAlign w:val="center"/>
          </w:tcPr>
          <w:p w14:paraId="639AE25C" w14:textId="610FB566" w:rsidR="00B40C45" w:rsidRPr="0070113D" w:rsidRDefault="007D1D0D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uplate EU za projekte AIRQ</w:t>
            </w:r>
            <w:r w:rsidR="00206FF3" w:rsidRPr="0070113D">
              <w:rPr>
                <w:rFonts w:ascii="Arial" w:hAnsi="Arial" w:cs="Arial"/>
                <w:sz w:val="24"/>
                <w:szCs w:val="24"/>
              </w:rPr>
              <w:t xml:space="preserve"> u završnoj fazi </w:t>
            </w:r>
            <w:r w:rsidRPr="0070113D">
              <w:rPr>
                <w:rFonts w:ascii="Arial" w:hAnsi="Arial" w:cs="Arial"/>
                <w:sz w:val="24"/>
                <w:szCs w:val="24"/>
              </w:rPr>
              <w:t>i METMONIC koji se nalaze u zreloj fazi provedbe</w:t>
            </w:r>
            <w:r w:rsidR="002728C3" w:rsidRPr="0070113D">
              <w:rPr>
                <w:rFonts w:ascii="Arial" w:hAnsi="Arial" w:cs="Arial"/>
                <w:sz w:val="24"/>
                <w:szCs w:val="24"/>
              </w:rPr>
              <w:t>. Značajno povećanje očekuje se tijekom 2022. godine.</w:t>
            </w:r>
          </w:p>
        </w:tc>
      </w:tr>
      <w:tr w:rsidR="004C0B94" w:rsidRPr="0070113D" w14:paraId="3C5113C8" w14:textId="77777777" w:rsidTr="007C68CD">
        <w:tc>
          <w:tcPr>
            <w:tcW w:w="1430" w:type="dxa"/>
            <w:vAlign w:val="center"/>
          </w:tcPr>
          <w:p w14:paraId="15798D59" w14:textId="27E3BB5F" w:rsidR="004C0B94" w:rsidRPr="0070113D" w:rsidRDefault="004C0B9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634</w:t>
            </w:r>
            <w:r w:rsidR="005A5834" w:rsidRPr="0070113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  <w:vAlign w:val="center"/>
          </w:tcPr>
          <w:p w14:paraId="73304F78" w14:textId="6B8EBEDD" w:rsidR="004C0B94" w:rsidRPr="0070113D" w:rsidRDefault="004C0B9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05</w:t>
            </w:r>
            <w:r w:rsidR="005A5834" w:rsidRPr="007011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17" w:type="dxa"/>
            <w:vAlign w:val="center"/>
          </w:tcPr>
          <w:p w14:paraId="1F659B04" w14:textId="51B1D58F" w:rsidR="004C0B94" w:rsidRPr="0070113D" w:rsidRDefault="00745C5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196,8</w:t>
            </w:r>
          </w:p>
        </w:tc>
        <w:tc>
          <w:tcPr>
            <w:tcW w:w="6138" w:type="dxa"/>
            <w:vAlign w:val="center"/>
          </w:tcPr>
          <w:p w14:paraId="17F8BC00" w14:textId="25DE387E" w:rsidR="004C0B94" w:rsidRPr="0070113D" w:rsidRDefault="007D1D0D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Prihod</w:t>
            </w:r>
            <w:r w:rsidR="002728C3" w:rsidRPr="0070113D">
              <w:rPr>
                <w:rFonts w:ascii="Arial" w:hAnsi="Arial" w:cs="Arial"/>
                <w:sz w:val="24"/>
                <w:szCs w:val="24"/>
              </w:rPr>
              <w:t>i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su povećani na temelju</w:t>
            </w:r>
            <w:r w:rsidR="005D6307" w:rsidRPr="0070113D">
              <w:rPr>
                <w:rFonts w:ascii="Arial" w:hAnsi="Arial" w:cs="Arial"/>
                <w:sz w:val="24"/>
                <w:szCs w:val="24"/>
              </w:rPr>
              <w:t xml:space="preserve"> ugovora o </w:t>
            </w:r>
            <w:r w:rsidR="005D6307" w:rsidRPr="002839F9">
              <w:rPr>
                <w:rFonts w:ascii="Arial" w:hAnsi="Arial" w:cs="Arial"/>
                <w:sz w:val="24"/>
                <w:szCs w:val="24"/>
              </w:rPr>
              <w:t xml:space="preserve">neposrednom sudjelovanju Fonda u financiranju provedbe Programa mjerenja razine onečišćenosti u </w:t>
            </w:r>
            <w:r w:rsidRPr="002839F9">
              <w:rPr>
                <w:rFonts w:ascii="Arial" w:hAnsi="Arial" w:cs="Arial"/>
                <w:sz w:val="24"/>
                <w:szCs w:val="24"/>
              </w:rPr>
              <w:t>D</w:t>
            </w:r>
            <w:r w:rsidR="005D6307" w:rsidRPr="002839F9">
              <w:rPr>
                <w:rFonts w:ascii="Arial" w:hAnsi="Arial" w:cs="Arial"/>
                <w:sz w:val="24"/>
                <w:szCs w:val="24"/>
              </w:rPr>
              <w:t>ržavnoj mreži</w:t>
            </w:r>
            <w:r w:rsidR="002839F9">
              <w:rPr>
                <w:rFonts w:ascii="Arial" w:hAnsi="Arial" w:cs="Arial"/>
                <w:sz w:val="24"/>
                <w:szCs w:val="24"/>
              </w:rPr>
              <w:t>, projekata AIRQ i METMONIC</w:t>
            </w:r>
          </w:p>
        </w:tc>
      </w:tr>
      <w:tr w:rsidR="0060799C" w:rsidRPr="0070113D" w14:paraId="7F5F77F7" w14:textId="77777777" w:rsidTr="006C38E0">
        <w:trPr>
          <w:trHeight w:val="708"/>
        </w:trPr>
        <w:tc>
          <w:tcPr>
            <w:tcW w:w="1430" w:type="dxa"/>
            <w:vAlign w:val="center"/>
          </w:tcPr>
          <w:p w14:paraId="43DBBC2D" w14:textId="3EB721EE" w:rsidR="0060799C" w:rsidRPr="0070113D" w:rsidRDefault="0060799C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6712</w:t>
            </w:r>
          </w:p>
        </w:tc>
        <w:tc>
          <w:tcPr>
            <w:tcW w:w="737" w:type="dxa"/>
            <w:vAlign w:val="center"/>
          </w:tcPr>
          <w:p w14:paraId="5FCEEBB7" w14:textId="31B94050" w:rsidR="0060799C" w:rsidRPr="0070113D" w:rsidRDefault="0060799C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017" w:type="dxa"/>
            <w:vAlign w:val="center"/>
          </w:tcPr>
          <w:p w14:paraId="2035BA14" w14:textId="4BDF0142" w:rsidR="0060799C" w:rsidRPr="0070113D" w:rsidRDefault="0060799C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247,1</w:t>
            </w:r>
          </w:p>
        </w:tc>
        <w:tc>
          <w:tcPr>
            <w:tcW w:w="6138" w:type="dxa"/>
          </w:tcPr>
          <w:p w14:paraId="483048A3" w14:textId="6DC77EC2" w:rsidR="0060799C" w:rsidRPr="0070113D" w:rsidRDefault="00805CA7" w:rsidP="006C38E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nabavu nefinancijske imovine, a u vezi provedbe projekata AIRQ i METMONIC.</w:t>
            </w:r>
          </w:p>
        </w:tc>
      </w:tr>
      <w:tr w:rsidR="00366BB8" w:rsidRPr="0070113D" w14:paraId="6175A23E" w14:textId="77777777" w:rsidTr="006C38E0">
        <w:trPr>
          <w:trHeight w:val="708"/>
        </w:trPr>
        <w:tc>
          <w:tcPr>
            <w:tcW w:w="1430" w:type="dxa"/>
            <w:vAlign w:val="center"/>
          </w:tcPr>
          <w:p w14:paraId="7F0A87E1" w14:textId="10FC7095" w:rsidR="00366BB8" w:rsidRPr="0070113D" w:rsidRDefault="00366BB8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3213</w:t>
            </w:r>
          </w:p>
        </w:tc>
        <w:tc>
          <w:tcPr>
            <w:tcW w:w="737" w:type="dxa"/>
            <w:vAlign w:val="center"/>
          </w:tcPr>
          <w:p w14:paraId="520BB959" w14:textId="31F6DB32" w:rsidR="00366BB8" w:rsidRPr="0070113D" w:rsidRDefault="00366BB8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017" w:type="dxa"/>
            <w:vAlign w:val="center"/>
          </w:tcPr>
          <w:p w14:paraId="26D279DA" w14:textId="477DEF0D" w:rsidR="00366BB8" w:rsidRPr="0070113D" w:rsidRDefault="00366BB8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131,9</w:t>
            </w:r>
          </w:p>
        </w:tc>
        <w:tc>
          <w:tcPr>
            <w:tcW w:w="6138" w:type="dxa"/>
          </w:tcPr>
          <w:p w14:paraId="739976F6" w14:textId="59E9E49C" w:rsidR="00366BB8" w:rsidRPr="0070113D" w:rsidRDefault="00366BB8" w:rsidP="006C38E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Razlog blagog povećanja troškova stručnog usavršavanja zaposlenika je u ponovnom održavanju </w:t>
            </w:r>
            <w:r w:rsidRPr="0070113D">
              <w:rPr>
                <w:rFonts w:ascii="Arial" w:hAnsi="Arial" w:cs="Arial"/>
                <w:sz w:val="24"/>
                <w:szCs w:val="24"/>
              </w:rPr>
              <w:lastRenderedPageBreak/>
              <w:t>edukacija nakon pandemijske 2020. godine. Većina edukacija se ipak održavala online.</w:t>
            </w:r>
          </w:p>
        </w:tc>
      </w:tr>
      <w:tr w:rsidR="00D709CA" w:rsidRPr="0070113D" w14:paraId="62281A8A" w14:textId="77777777" w:rsidTr="006C38E0">
        <w:trPr>
          <w:trHeight w:val="881"/>
        </w:trPr>
        <w:tc>
          <w:tcPr>
            <w:tcW w:w="1430" w:type="dxa"/>
            <w:vAlign w:val="center"/>
          </w:tcPr>
          <w:p w14:paraId="1CA88505" w14:textId="07288DA2" w:rsidR="003D77B2" w:rsidRPr="0070113D" w:rsidRDefault="003D77B2" w:rsidP="008D0A5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  <w:r w:rsidR="008D0A5C" w:rsidRPr="0070113D">
              <w:rPr>
                <w:rFonts w:ascii="Arial" w:hAnsi="Arial" w:cs="Arial"/>
                <w:sz w:val="24"/>
                <w:szCs w:val="24"/>
              </w:rPr>
              <w:t>2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37" w:type="dxa"/>
            <w:vAlign w:val="center"/>
          </w:tcPr>
          <w:p w14:paraId="0803D694" w14:textId="589201A9" w:rsidR="00D709CA" w:rsidRPr="0070113D" w:rsidRDefault="000A5546" w:rsidP="008D0A5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017" w:type="dxa"/>
            <w:vAlign w:val="center"/>
          </w:tcPr>
          <w:p w14:paraId="164BA35E" w14:textId="47704C46" w:rsidR="003D77B2" w:rsidRPr="0070113D" w:rsidRDefault="000A5546" w:rsidP="006C38E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269,1</w:t>
            </w:r>
          </w:p>
        </w:tc>
        <w:tc>
          <w:tcPr>
            <w:tcW w:w="6138" w:type="dxa"/>
            <w:vAlign w:val="center"/>
          </w:tcPr>
          <w:p w14:paraId="6EC6F814" w14:textId="25E15C9B" w:rsidR="00FD1D7E" w:rsidRPr="0070113D" w:rsidRDefault="008D0A5C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Troškovi nabave 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 xml:space="preserve">službene, radne i zaštitne odjeće i obuće porasli su zbog povećanih potreba </w:t>
            </w:r>
            <w:r w:rsidR="002166FE" w:rsidRPr="0070113D">
              <w:rPr>
                <w:rFonts w:ascii="Arial" w:hAnsi="Arial" w:cs="Arial"/>
                <w:sz w:val="24"/>
                <w:szCs w:val="24"/>
              </w:rPr>
              <w:t xml:space="preserve">na 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>određen</w:t>
            </w:r>
            <w:r w:rsidR="002166FE" w:rsidRPr="0070113D">
              <w:rPr>
                <w:rFonts w:ascii="Arial" w:hAnsi="Arial" w:cs="Arial"/>
                <w:sz w:val="24"/>
                <w:szCs w:val="24"/>
              </w:rPr>
              <w:t>im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 xml:space="preserve"> radni</w:t>
            </w:r>
            <w:r w:rsidR="005702A3" w:rsidRPr="0070113D">
              <w:rPr>
                <w:rFonts w:ascii="Arial" w:hAnsi="Arial" w:cs="Arial"/>
                <w:sz w:val="24"/>
                <w:szCs w:val="24"/>
              </w:rPr>
              <w:t>m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 xml:space="preserve"> mjest</w:t>
            </w:r>
            <w:r w:rsidR="005702A3" w:rsidRPr="0070113D">
              <w:rPr>
                <w:rFonts w:ascii="Arial" w:hAnsi="Arial" w:cs="Arial"/>
                <w:sz w:val="24"/>
                <w:szCs w:val="24"/>
              </w:rPr>
              <w:t>im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 xml:space="preserve">a, a iz razloga što se prethodnih godina nije </w:t>
            </w:r>
            <w:r w:rsidR="005702A3" w:rsidRPr="0070113D">
              <w:rPr>
                <w:rFonts w:ascii="Arial" w:hAnsi="Arial" w:cs="Arial"/>
                <w:sz w:val="24"/>
                <w:szCs w:val="24"/>
              </w:rPr>
              <w:t xml:space="preserve">redovno </w:t>
            </w:r>
            <w:r w:rsidR="000A5546" w:rsidRPr="0070113D">
              <w:rPr>
                <w:rFonts w:ascii="Arial" w:hAnsi="Arial" w:cs="Arial"/>
                <w:sz w:val="24"/>
                <w:szCs w:val="24"/>
              </w:rPr>
              <w:t>provodila nabava</w:t>
            </w:r>
          </w:p>
        </w:tc>
      </w:tr>
      <w:tr w:rsidR="00643AF5" w:rsidRPr="0070113D" w14:paraId="14A7949B" w14:textId="77777777" w:rsidTr="007C68CD">
        <w:trPr>
          <w:trHeight w:val="769"/>
        </w:trPr>
        <w:tc>
          <w:tcPr>
            <w:tcW w:w="1430" w:type="dxa"/>
          </w:tcPr>
          <w:p w14:paraId="2454F2B4" w14:textId="77777777" w:rsidR="005702A3" w:rsidRPr="0070113D" w:rsidRDefault="005702A3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E6DBCF5" w14:textId="12F6E251" w:rsidR="00643AF5" w:rsidRPr="0070113D" w:rsidRDefault="005702A3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3235</w:t>
            </w:r>
          </w:p>
          <w:p w14:paraId="0471879D" w14:textId="56F98B9C" w:rsidR="005702A3" w:rsidRPr="0070113D" w:rsidRDefault="005702A3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14:paraId="126C4943" w14:textId="77777777" w:rsidR="00643AF5" w:rsidRPr="0070113D" w:rsidRDefault="00643AF5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33DCB" w14:textId="01CF4284" w:rsidR="00643AF5" w:rsidRPr="0070113D" w:rsidRDefault="005702A3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017" w:type="dxa"/>
          </w:tcPr>
          <w:p w14:paraId="31A68643" w14:textId="77777777" w:rsidR="00643AF5" w:rsidRPr="0070113D" w:rsidRDefault="00643AF5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C79994C" w14:textId="162C74A4" w:rsidR="00643AF5" w:rsidRPr="0070113D" w:rsidRDefault="005702A3" w:rsidP="00643AF5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143,7</w:t>
            </w:r>
          </w:p>
        </w:tc>
        <w:tc>
          <w:tcPr>
            <w:tcW w:w="6138" w:type="dxa"/>
          </w:tcPr>
          <w:p w14:paraId="3FFAD419" w14:textId="1BA0965D" w:rsidR="00643AF5" w:rsidRPr="0070113D" w:rsidRDefault="005702A3" w:rsidP="00643AF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Troškovi zakupnine i najamnine porasli su zbog zakupa poslovnog prostora 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 xml:space="preserve">za DHMZ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budući da je 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 xml:space="preserve">zgrada </w:t>
            </w:r>
            <w:r w:rsidRPr="0070113D">
              <w:rPr>
                <w:rFonts w:ascii="Arial" w:hAnsi="Arial" w:cs="Arial"/>
                <w:sz w:val="24"/>
                <w:szCs w:val="24"/>
              </w:rPr>
              <w:t>DHMZ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 xml:space="preserve">-a na lokaciji Grič 3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2020. nakon potresa 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>proglašena neupotrebljivom i dobila je crvenu naljepnicu. Također, povećanje se odnosi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 xml:space="preserve"> na najam skladišnog prostora za meteorološko-oceanske plutače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>.</w:t>
            </w:r>
            <w:r w:rsidR="00745C5E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40944" w:rsidRPr="0070113D" w14:paraId="7A6C7719" w14:textId="77777777" w:rsidTr="007C68CD">
        <w:trPr>
          <w:trHeight w:val="769"/>
        </w:trPr>
        <w:tc>
          <w:tcPr>
            <w:tcW w:w="1430" w:type="dxa"/>
          </w:tcPr>
          <w:p w14:paraId="7BFCC9C2" w14:textId="77777777" w:rsidR="00540944" w:rsidRPr="0070113D" w:rsidRDefault="0054094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D5144F" w14:textId="0FCE7776" w:rsidR="00540944" w:rsidRPr="0070113D" w:rsidRDefault="0054094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</w:t>
            </w:r>
            <w:r w:rsidR="005702A3" w:rsidRPr="0070113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737" w:type="dxa"/>
          </w:tcPr>
          <w:p w14:paraId="2878E5DB" w14:textId="77777777" w:rsidR="00540944" w:rsidRPr="0070113D" w:rsidRDefault="0054094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16BD27" w14:textId="58720875" w:rsidR="00540944" w:rsidRPr="0070113D" w:rsidRDefault="005702A3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017" w:type="dxa"/>
          </w:tcPr>
          <w:p w14:paraId="20635CA8" w14:textId="77777777" w:rsidR="00540944" w:rsidRPr="0070113D" w:rsidRDefault="00540944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E66A8E" w14:textId="67A1C465" w:rsidR="00540944" w:rsidRPr="0070113D" w:rsidRDefault="005702A3" w:rsidP="00540944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6138" w:type="dxa"/>
          </w:tcPr>
          <w:p w14:paraId="208D97F0" w14:textId="77777777" w:rsidR="00485565" w:rsidRPr="0070113D" w:rsidRDefault="00485565" w:rsidP="00236D1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892950B" w14:textId="430B38C4" w:rsidR="00540944" w:rsidRPr="0070113D" w:rsidRDefault="005702A3" w:rsidP="00236D1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Tijekom 2021. nije bilo </w:t>
            </w:r>
            <w:r w:rsidR="00461E7F" w:rsidRPr="0070113D">
              <w:rPr>
                <w:rFonts w:ascii="Arial" w:hAnsi="Arial" w:cs="Arial"/>
                <w:sz w:val="24"/>
                <w:szCs w:val="24"/>
              </w:rPr>
              <w:t>sistematski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>h</w:t>
            </w:r>
            <w:r w:rsidR="00461E7F" w:rsidRPr="0070113D">
              <w:rPr>
                <w:rFonts w:ascii="Arial" w:hAnsi="Arial" w:cs="Arial"/>
                <w:sz w:val="24"/>
                <w:szCs w:val="24"/>
              </w:rPr>
              <w:t xml:space="preserve"> pregled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>a</w:t>
            </w:r>
            <w:r w:rsidR="00461E7F" w:rsidRPr="0070113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36D16" w:rsidRPr="0070113D" w14:paraId="1FDC3A36" w14:textId="77777777" w:rsidTr="007C68CD">
        <w:trPr>
          <w:trHeight w:val="769"/>
        </w:trPr>
        <w:tc>
          <w:tcPr>
            <w:tcW w:w="1430" w:type="dxa"/>
          </w:tcPr>
          <w:p w14:paraId="2E21EB73" w14:textId="77777777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526DDF" w14:textId="2D70320C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</w:t>
            </w:r>
            <w:r w:rsidR="00461E7F" w:rsidRPr="0070113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737" w:type="dxa"/>
          </w:tcPr>
          <w:p w14:paraId="034DEEB7" w14:textId="77777777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CB88C4" w14:textId="30D79EC5" w:rsidR="00236D16" w:rsidRPr="0070113D" w:rsidRDefault="00461E7F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017" w:type="dxa"/>
          </w:tcPr>
          <w:p w14:paraId="1E4AC071" w14:textId="77777777" w:rsidR="00236D16" w:rsidRPr="0070113D" w:rsidRDefault="00236D16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4C5757C" w14:textId="59870297" w:rsidR="00236D16" w:rsidRPr="0070113D" w:rsidRDefault="00461E7F" w:rsidP="00236D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552,5</w:t>
            </w:r>
          </w:p>
        </w:tc>
        <w:tc>
          <w:tcPr>
            <w:tcW w:w="6138" w:type="dxa"/>
          </w:tcPr>
          <w:p w14:paraId="1638E600" w14:textId="28B359BF" w:rsidR="00236D16" w:rsidRPr="0070113D" w:rsidRDefault="00461E7F" w:rsidP="00236D16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Razlog značajn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>ije</w:t>
            </w:r>
            <w:r w:rsidRPr="0070113D">
              <w:rPr>
                <w:rFonts w:ascii="Arial" w:hAnsi="Arial" w:cs="Arial"/>
                <w:sz w:val="24"/>
                <w:szCs w:val="24"/>
              </w:rPr>
              <w:t>m povećanju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 xml:space="preserve"> troškova za računalne usluge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je nabava potrebnih licenci, novih programa za potrebe rada te drugačiji način knjiženja prema nalazu Državnog ureda za reviziju.</w:t>
            </w:r>
          </w:p>
        </w:tc>
      </w:tr>
      <w:tr w:rsidR="00236D16" w:rsidRPr="0070113D" w14:paraId="239E702B" w14:textId="77777777" w:rsidTr="007C68CD">
        <w:trPr>
          <w:trHeight w:val="769"/>
        </w:trPr>
        <w:tc>
          <w:tcPr>
            <w:tcW w:w="1430" w:type="dxa"/>
          </w:tcPr>
          <w:p w14:paraId="5EB1E389" w14:textId="77777777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72E844" w14:textId="4297B83F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323</w:t>
            </w:r>
            <w:r w:rsidR="00461E7F" w:rsidRPr="0070113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14:paraId="78456F50" w14:textId="77777777" w:rsidR="00236D16" w:rsidRPr="0070113D" w:rsidRDefault="00236D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ACC3E82" w14:textId="19F439B7" w:rsidR="00236D16" w:rsidRPr="0070113D" w:rsidRDefault="00461E7F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017" w:type="dxa"/>
          </w:tcPr>
          <w:p w14:paraId="2886D12D" w14:textId="77777777" w:rsidR="00236D16" w:rsidRPr="0070113D" w:rsidRDefault="00236D16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137DEB" w14:textId="0E15F213" w:rsidR="00236D16" w:rsidRPr="0070113D" w:rsidRDefault="00461E7F" w:rsidP="00236D1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203,9</w:t>
            </w:r>
          </w:p>
        </w:tc>
        <w:tc>
          <w:tcPr>
            <w:tcW w:w="6138" w:type="dxa"/>
          </w:tcPr>
          <w:p w14:paraId="21D280A8" w14:textId="6B9D392F" w:rsidR="00236D16" w:rsidRPr="0070113D" w:rsidRDefault="00461E7F" w:rsidP="008D02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povećanja troškova</w:t>
            </w:r>
            <w:r w:rsidR="00236D16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3D">
              <w:rPr>
                <w:rFonts w:ascii="Arial" w:hAnsi="Arial" w:cs="Arial"/>
                <w:sz w:val="24"/>
                <w:szCs w:val="24"/>
              </w:rPr>
              <w:t>došlo je zbog podmirenja naknada</w:t>
            </w:r>
            <w:r w:rsidR="00EC78EF" w:rsidRPr="0070113D">
              <w:rPr>
                <w:rFonts w:ascii="Arial" w:hAnsi="Arial" w:cs="Arial"/>
                <w:sz w:val="24"/>
                <w:szCs w:val="24"/>
              </w:rPr>
              <w:t xml:space="preserve"> za energetske usluge na novim lokacijama gdje se planiraju postaviti nove postaje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 xml:space="preserve"> (radari)</w:t>
            </w:r>
            <w:r w:rsidR="00EC78EF" w:rsidRPr="0070113D">
              <w:rPr>
                <w:rFonts w:ascii="Arial" w:hAnsi="Arial" w:cs="Arial"/>
                <w:sz w:val="24"/>
                <w:szCs w:val="24"/>
              </w:rPr>
              <w:t>,</w:t>
            </w:r>
            <w:r w:rsidR="009756BC" w:rsidRPr="0070113D">
              <w:rPr>
                <w:rFonts w:ascii="Arial" w:hAnsi="Arial" w:cs="Arial"/>
                <w:sz w:val="24"/>
                <w:szCs w:val="24"/>
              </w:rPr>
              <w:t xml:space="preserve"> povećanim troškovima za usluge pri registraciji prijevoznih sredstava</w:t>
            </w:r>
            <w:r w:rsidR="00686F2B" w:rsidRPr="0070113D">
              <w:rPr>
                <w:rFonts w:ascii="Arial" w:hAnsi="Arial" w:cs="Arial"/>
                <w:sz w:val="24"/>
                <w:szCs w:val="24"/>
              </w:rPr>
              <w:t xml:space="preserve"> budući da su nabavljena nova vozila u okviru EU projekta.</w:t>
            </w:r>
          </w:p>
        </w:tc>
      </w:tr>
      <w:tr w:rsidR="00B613C0" w:rsidRPr="0070113D" w14:paraId="251CC1EE" w14:textId="77777777" w:rsidTr="007C68CD">
        <w:trPr>
          <w:trHeight w:val="769"/>
        </w:trPr>
        <w:tc>
          <w:tcPr>
            <w:tcW w:w="1430" w:type="dxa"/>
          </w:tcPr>
          <w:p w14:paraId="1041F1DF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CE8C018" w14:textId="7A51A224" w:rsidR="00B613C0" w:rsidRPr="0070113D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</w:t>
            </w:r>
            <w:r w:rsidR="00686F2B" w:rsidRPr="0070113D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737" w:type="dxa"/>
          </w:tcPr>
          <w:p w14:paraId="181E2885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053AF3" w14:textId="242B593E" w:rsidR="00B613C0" w:rsidRPr="0070113D" w:rsidRDefault="00B613C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</w:t>
            </w:r>
            <w:r w:rsidR="00686F2B" w:rsidRPr="0070113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017" w:type="dxa"/>
          </w:tcPr>
          <w:p w14:paraId="5BB364CD" w14:textId="77777777" w:rsidR="00FD1D7E" w:rsidRPr="0070113D" w:rsidRDefault="00FD1D7E" w:rsidP="006C38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2EF53A" w14:textId="6650F5B8" w:rsidR="00B613C0" w:rsidRPr="0070113D" w:rsidRDefault="00686F2B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178,3</w:t>
            </w:r>
          </w:p>
        </w:tc>
        <w:tc>
          <w:tcPr>
            <w:tcW w:w="6138" w:type="dxa"/>
          </w:tcPr>
          <w:p w14:paraId="00826301" w14:textId="10438E4B" w:rsidR="00B613C0" w:rsidRPr="0070113D" w:rsidRDefault="00E35316" w:rsidP="008D0277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Povećanje </w:t>
            </w:r>
            <w:r w:rsidR="00686F2B" w:rsidRPr="0070113D">
              <w:rPr>
                <w:rFonts w:ascii="Arial" w:hAnsi="Arial" w:cs="Arial"/>
                <w:sz w:val="24"/>
                <w:szCs w:val="24"/>
              </w:rPr>
              <w:t>premija osiguranja odnosi se nove automobile nabavljenih u okviru EU projekta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 xml:space="preserve"> i osiguranje robe u skladišnom prostoru - meteorološko-oceanske plutače.</w:t>
            </w:r>
          </w:p>
        </w:tc>
      </w:tr>
      <w:tr w:rsidR="008D0277" w:rsidRPr="0070113D" w14:paraId="5D9ACB74" w14:textId="77777777" w:rsidTr="007C68CD">
        <w:trPr>
          <w:trHeight w:val="769"/>
        </w:trPr>
        <w:tc>
          <w:tcPr>
            <w:tcW w:w="1430" w:type="dxa"/>
            <w:vAlign w:val="center"/>
          </w:tcPr>
          <w:p w14:paraId="13AEB98C" w14:textId="124BAB74" w:rsidR="008D0277" w:rsidRPr="0070113D" w:rsidRDefault="008D0277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32</w:t>
            </w:r>
            <w:r w:rsidR="00686F2B" w:rsidRPr="0070113D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737" w:type="dxa"/>
            <w:vAlign w:val="center"/>
          </w:tcPr>
          <w:p w14:paraId="3110EECD" w14:textId="38577E9D" w:rsidR="008D0277" w:rsidRPr="0070113D" w:rsidRDefault="00686F2B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017" w:type="dxa"/>
            <w:vAlign w:val="center"/>
          </w:tcPr>
          <w:p w14:paraId="71A5F820" w14:textId="351D7C58" w:rsidR="008D0277" w:rsidRPr="0070113D" w:rsidRDefault="00686F2B" w:rsidP="005D6307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47,1</w:t>
            </w:r>
          </w:p>
        </w:tc>
        <w:tc>
          <w:tcPr>
            <w:tcW w:w="6138" w:type="dxa"/>
          </w:tcPr>
          <w:p w14:paraId="072CD2AC" w14:textId="69A1A2D4" w:rsidR="008D0277" w:rsidRPr="0070113D" w:rsidRDefault="00686F2B" w:rsidP="00190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Smanjenje troškova reprezentacije posljedica</w:t>
            </w:r>
            <w:r w:rsidR="00F42B6C" w:rsidRPr="0070113D">
              <w:rPr>
                <w:rFonts w:ascii="Arial" w:hAnsi="Arial" w:cs="Arial"/>
                <w:sz w:val="24"/>
                <w:szCs w:val="24"/>
              </w:rPr>
              <w:t xml:space="preserve"> su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neodržanih i odgođenih </w:t>
            </w:r>
            <w:r w:rsidR="00F42B6C" w:rsidRPr="0070113D">
              <w:rPr>
                <w:rFonts w:ascii="Arial" w:hAnsi="Arial" w:cs="Arial"/>
                <w:sz w:val="24"/>
                <w:szCs w:val="24"/>
              </w:rPr>
              <w:t>obilježavanja obljetnica DHMZ-a i obilježavanja drugih međunarodnih obljetnica zbog pandemije</w:t>
            </w:r>
            <w:r w:rsidR="00485565" w:rsidRPr="0070113D">
              <w:rPr>
                <w:rFonts w:ascii="Arial" w:hAnsi="Arial" w:cs="Arial"/>
                <w:sz w:val="24"/>
                <w:szCs w:val="24"/>
              </w:rPr>
              <w:t xml:space="preserve"> (Svjetski meteorološki dan)</w:t>
            </w:r>
          </w:p>
        </w:tc>
      </w:tr>
      <w:tr w:rsidR="001906E1" w:rsidRPr="0070113D" w14:paraId="2D1429DA" w14:textId="77777777" w:rsidTr="007C68CD">
        <w:trPr>
          <w:trHeight w:val="769"/>
        </w:trPr>
        <w:tc>
          <w:tcPr>
            <w:tcW w:w="1430" w:type="dxa"/>
          </w:tcPr>
          <w:p w14:paraId="167BF91C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06417" w14:textId="327F4C48" w:rsidR="001906E1" w:rsidRPr="0070113D" w:rsidRDefault="00F42B6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3431</w:t>
            </w:r>
          </w:p>
        </w:tc>
        <w:tc>
          <w:tcPr>
            <w:tcW w:w="737" w:type="dxa"/>
          </w:tcPr>
          <w:p w14:paraId="68DC93AE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1A656E" w14:textId="7E536370" w:rsidR="001906E1" w:rsidRPr="0070113D" w:rsidRDefault="00F42B6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017" w:type="dxa"/>
          </w:tcPr>
          <w:p w14:paraId="1CB22A65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A111ADD" w14:textId="1D97A0F9" w:rsidR="001906E1" w:rsidRPr="0070113D" w:rsidRDefault="00F42B6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138" w:type="dxa"/>
          </w:tcPr>
          <w:p w14:paraId="7D4076A2" w14:textId="7EBFACA1" w:rsidR="001906E1" w:rsidRPr="0070113D" w:rsidRDefault="00F42B6C" w:rsidP="001906E1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Smanjenje bankarskih usluga i usluga</w:t>
            </w:r>
            <w:r w:rsidR="001906E1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platnog prometa posljedica je </w:t>
            </w:r>
            <w:r w:rsidR="00816516" w:rsidRPr="0070113D">
              <w:rPr>
                <w:rFonts w:ascii="Arial" w:hAnsi="Arial" w:cs="Arial"/>
                <w:sz w:val="24"/>
                <w:szCs w:val="24"/>
              </w:rPr>
              <w:t>povećane kontrole u plaćanju računa te uvođenje e-dostave računa da se izbjegn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>u</w:t>
            </w:r>
            <w:r w:rsidR="00816516" w:rsidRPr="0070113D">
              <w:rPr>
                <w:rFonts w:ascii="Arial" w:hAnsi="Arial" w:cs="Arial"/>
                <w:sz w:val="24"/>
                <w:szCs w:val="24"/>
              </w:rPr>
              <w:t xml:space="preserve"> plaćanja zateznih kamata</w:t>
            </w:r>
          </w:p>
        </w:tc>
      </w:tr>
      <w:tr w:rsidR="001906E1" w:rsidRPr="0070113D" w14:paraId="4DED881A" w14:textId="77777777" w:rsidTr="007C68CD">
        <w:trPr>
          <w:trHeight w:val="769"/>
        </w:trPr>
        <w:tc>
          <w:tcPr>
            <w:tcW w:w="1430" w:type="dxa"/>
          </w:tcPr>
          <w:p w14:paraId="7996538D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1053BE" w14:textId="6F9FE541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</w:t>
            </w:r>
            <w:r w:rsidR="00816516" w:rsidRPr="0070113D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737" w:type="dxa"/>
          </w:tcPr>
          <w:p w14:paraId="68695BE4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F718B0" w14:textId="5083813E" w:rsidR="001906E1" w:rsidRPr="0070113D" w:rsidRDefault="008165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017" w:type="dxa"/>
          </w:tcPr>
          <w:p w14:paraId="1E7AF021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5AF3CF" w14:textId="468140A3" w:rsidR="001906E1" w:rsidRPr="0070113D" w:rsidRDefault="00816516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  <w:tc>
          <w:tcPr>
            <w:tcW w:w="6138" w:type="dxa"/>
          </w:tcPr>
          <w:p w14:paraId="55483386" w14:textId="05880FB8" w:rsidR="001906E1" w:rsidRPr="0070113D" w:rsidRDefault="00816516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Smanjenje troškova posljedica je manjeg broja zahtjeva za plaćanje školarina.</w:t>
            </w:r>
            <w:r w:rsidR="001906E1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906E1" w:rsidRPr="0070113D" w14:paraId="5BC582EE" w14:textId="77777777" w:rsidTr="007C68CD">
        <w:trPr>
          <w:trHeight w:val="769"/>
        </w:trPr>
        <w:tc>
          <w:tcPr>
            <w:tcW w:w="1430" w:type="dxa"/>
          </w:tcPr>
          <w:p w14:paraId="2C8B20EB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7A982E" w14:textId="4C8ADFEA" w:rsidR="001906E1" w:rsidRPr="0070113D" w:rsidRDefault="00CF2AA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4214</w:t>
            </w:r>
          </w:p>
        </w:tc>
        <w:tc>
          <w:tcPr>
            <w:tcW w:w="737" w:type="dxa"/>
          </w:tcPr>
          <w:p w14:paraId="2A2D217C" w14:textId="77777777" w:rsidR="001906E1" w:rsidRPr="0070113D" w:rsidRDefault="001906E1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06A66CB" w14:textId="511BF20F" w:rsidR="00A058CE" w:rsidRPr="0070113D" w:rsidRDefault="00CF2AA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017" w:type="dxa"/>
          </w:tcPr>
          <w:p w14:paraId="1E154AEC" w14:textId="77777777" w:rsidR="00A058CE" w:rsidRPr="0070113D" w:rsidRDefault="00A058C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B2B889" w14:textId="304BA88E" w:rsidR="00CF2AAC" w:rsidRPr="0070113D" w:rsidRDefault="00CF2AAC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946,6</w:t>
            </w:r>
          </w:p>
        </w:tc>
        <w:tc>
          <w:tcPr>
            <w:tcW w:w="6138" w:type="dxa"/>
          </w:tcPr>
          <w:p w14:paraId="4C5E613F" w14:textId="3EAE7B51" w:rsidR="001906E1" w:rsidRPr="0070113D" w:rsidRDefault="00CF2AAC" w:rsidP="0049333A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 xml:space="preserve">Povećanje se odnosi na nabavu stambeno poslovnih 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>kontejnera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naba</w:t>
            </w:r>
            <w:r w:rsidR="004317F7" w:rsidRPr="0070113D">
              <w:rPr>
                <w:rFonts w:ascii="Arial" w:hAnsi="Arial" w:cs="Arial"/>
                <w:sz w:val="24"/>
                <w:szCs w:val="24"/>
              </w:rPr>
              <w:t>v</w:t>
            </w:r>
            <w:r w:rsidRPr="0070113D">
              <w:rPr>
                <w:rFonts w:ascii="Arial" w:hAnsi="Arial" w:cs="Arial"/>
                <w:sz w:val="24"/>
                <w:szCs w:val="24"/>
              </w:rPr>
              <w:t>ljenih nakon potresa za SMŽ te na izgradnju novih građevin</w:t>
            </w:r>
            <w:r w:rsidR="0070113D">
              <w:rPr>
                <w:rFonts w:ascii="Arial" w:hAnsi="Arial" w:cs="Arial"/>
                <w:sz w:val="24"/>
                <w:szCs w:val="24"/>
              </w:rPr>
              <w:t>s</w:t>
            </w:r>
            <w:r w:rsidRPr="0070113D">
              <w:rPr>
                <w:rFonts w:ascii="Arial" w:hAnsi="Arial" w:cs="Arial"/>
                <w:sz w:val="24"/>
                <w:szCs w:val="24"/>
              </w:rPr>
              <w:t>kih objekata za potrebe instaliranja novih radara na lokacijama Gradište i Bilogora</w:t>
            </w:r>
          </w:p>
        </w:tc>
      </w:tr>
      <w:tr w:rsidR="00EB1D20" w:rsidRPr="0070113D" w14:paraId="173CFDDA" w14:textId="77777777" w:rsidTr="007C68CD">
        <w:trPr>
          <w:trHeight w:val="769"/>
        </w:trPr>
        <w:tc>
          <w:tcPr>
            <w:tcW w:w="1430" w:type="dxa"/>
          </w:tcPr>
          <w:p w14:paraId="3E9D8A87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2CA7831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0EA716F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A76092" w14:textId="1C71B2F0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4221</w:t>
            </w:r>
          </w:p>
        </w:tc>
        <w:tc>
          <w:tcPr>
            <w:tcW w:w="737" w:type="dxa"/>
          </w:tcPr>
          <w:p w14:paraId="4835A1E6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C75E5D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36E12E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09C4E" w14:textId="2F7C00C9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017" w:type="dxa"/>
          </w:tcPr>
          <w:p w14:paraId="622CBC35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F1A82A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4C25B5" w14:textId="77777777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E918F5" w14:textId="73CCF7D2" w:rsidR="00EB1D20" w:rsidRPr="0070113D" w:rsidRDefault="00EB1D2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12,3</w:t>
            </w:r>
          </w:p>
        </w:tc>
        <w:tc>
          <w:tcPr>
            <w:tcW w:w="6138" w:type="dxa"/>
          </w:tcPr>
          <w:p w14:paraId="596F2075" w14:textId="595A2055" w:rsidR="00EB1D20" w:rsidRPr="0070113D" w:rsidRDefault="00EB1D20" w:rsidP="00C51C8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Znatno smanjenje troškova za uredsku opremu i namještaj posljedica je provedene nabave prethodnih godina za potrebe opremanja novih prostora na lokaciji Borongajska cesta 83d kao i na p</w:t>
            </w:r>
            <w:r w:rsidR="00B74580" w:rsidRPr="0070113D">
              <w:rPr>
                <w:rFonts w:ascii="Arial" w:hAnsi="Arial" w:cs="Arial"/>
                <w:sz w:val="24"/>
                <w:szCs w:val="24"/>
              </w:rPr>
              <w:t>r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ovedene nabave tijekom 2020. godine nakon potresa za nabavu računala </w:t>
            </w:r>
            <w:r w:rsidRPr="0070113D">
              <w:rPr>
                <w:rFonts w:ascii="Arial" w:hAnsi="Arial" w:cs="Arial"/>
                <w:sz w:val="24"/>
                <w:szCs w:val="24"/>
              </w:rPr>
              <w:lastRenderedPageBreak/>
              <w:t xml:space="preserve">i računalne opreme za potrebe rada od kuće te zbog zamjene starih i neupotrebljivih računala uništenih u potresu.  </w:t>
            </w:r>
          </w:p>
        </w:tc>
      </w:tr>
      <w:tr w:rsidR="003D77B2" w:rsidRPr="0070113D" w14:paraId="57940AAB" w14:textId="77777777" w:rsidTr="007C68CD">
        <w:trPr>
          <w:trHeight w:val="769"/>
        </w:trPr>
        <w:tc>
          <w:tcPr>
            <w:tcW w:w="1430" w:type="dxa"/>
          </w:tcPr>
          <w:p w14:paraId="433CC485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64C2542" w14:textId="642F7692" w:rsidR="003D77B2" w:rsidRPr="0070113D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422</w:t>
            </w:r>
            <w:r w:rsidR="00935B24" w:rsidRPr="0070113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37" w:type="dxa"/>
          </w:tcPr>
          <w:p w14:paraId="43C27A30" w14:textId="77777777" w:rsidR="00C51C88" w:rsidRPr="0070113D" w:rsidRDefault="00C51C88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D65F87" w14:textId="5D241931" w:rsidR="003D77B2" w:rsidRPr="0070113D" w:rsidRDefault="00935B2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017" w:type="dxa"/>
          </w:tcPr>
          <w:p w14:paraId="391B7A96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B2EC12" w14:textId="6DEBAC6A" w:rsidR="003D77B2" w:rsidRPr="0070113D" w:rsidRDefault="00935B2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30,9</w:t>
            </w:r>
          </w:p>
        </w:tc>
        <w:tc>
          <w:tcPr>
            <w:tcW w:w="6138" w:type="dxa"/>
          </w:tcPr>
          <w:p w14:paraId="401743E2" w14:textId="4C7D1B58" w:rsidR="009D6E59" w:rsidRPr="0070113D" w:rsidRDefault="00EB1D20" w:rsidP="00C51C88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Do s</w:t>
            </w:r>
            <w:r w:rsidR="00935B24" w:rsidRPr="0070113D">
              <w:rPr>
                <w:rFonts w:ascii="Arial" w:hAnsi="Arial" w:cs="Arial"/>
                <w:sz w:val="24"/>
                <w:szCs w:val="24"/>
              </w:rPr>
              <w:t>manjenj</w:t>
            </w:r>
            <w:r w:rsidRPr="0070113D">
              <w:rPr>
                <w:rFonts w:ascii="Arial" w:hAnsi="Arial" w:cs="Arial"/>
                <w:sz w:val="24"/>
                <w:szCs w:val="24"/>
              </w:rPr>
              <w:t>a</w:t>
            </w:r>
            <w:r w:rsidR="00935B24" w:rsidRPr="0070113D">
              <w:rPr>
                <w:rFonts w:ascii="Arial" w:hAnsi="Arial" w:cs="Arial"/>
                <w:sz w:val="24"/>
                <w:szCs w:val="24"/>
              </w:rPr>
              <w:t xml:space="preserve"> troškova u nabavi medicinske i laboratorijske opreme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došlo je zbog provedenih nabava prethodnih </w:t>
            </w:r>
            <w:r w:rsidR="00BD53F0" w:rsidRPr="0070113D">
              <w:rPr>
                <w:rFonts w:ascii="Arial" w:hAnsi="Arial" w:cs="Arial"/>
                <w:sz w:val="24"/>
                <w:szCs w:val="24"/>
              </w:rPr>
              <w:t xml:space="preserve">godina </w:t>
            </w:r>
            <w:r w:rsidR="00935B24" w:rsidRPr="0070113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FB4510" w:rsidRPr="0070113D" w14:paraId="62DD5796" w14:textId="77777777" w:rsidTr="007C68CD">
        <w:trPr>
          <w:trHeight w:val="769"/>
        </w:trPr>
        <w:tc>
          <w:tcPr>
            <w:tcW w:w="1430" w:type="dxa"/>
          </w:tcPr>
          <w:p w14:paraId="656A2C98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53DA154" w14:textId="18C44C59" w:rsidR="00FB4510" w:rsidRPr="0070113D" w:rsidRDefault="00FB4510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422</w:t>
            </w:r>
            <w:r w:rsidR="00935B24" w:rsidRPr="007011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37" w:type="dxa"/>
          </w:tcPr>
          <w:p w14:paraId="1862F2C1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07846C" w14:textId="75CE5515" w:rsidR="00FB4510" w:rsidRPr="0070113D" w:rsidRDefault="00935B2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017" w:type="dxa"/>
          </w:tcPr>
          <w:p w14:paraId="666FE073" w14:textId="77777777" w:rsidR="00FD1D7E" w:rsidRPr="0070113D" w:rsidRDefault="00FD1D7E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D0284F9" w14:textId="67C17BF0" w:rsidR="00FB4510" w:rsidRPr="0070113D" w:rsidRDefault="00935B24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253,4</w:t>
            </w:r>
          </w:p>
        </w:tc>
        <w:tc>
          <w:tcPr>
            <w:tcW w:w="6138" w:type="dxa"/>
          </w:tcPr>
          <w:p w14:paraId="14B44590" w14:textId="79F4E7DA" w:rsidR="00FD1D7E" w:rsidRPr="0070113D" w:rsidRDefault="00935B24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Znatno povećanje instrumenata, uređaja i strojeva posljedica je provođenja EU projekata AIRQ</w:t>
            </w:r>
            <w:r w:rsidR="00B74580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i METMONIC kao i</w:t>
            </w:r>
            <w:r w:rsidR="00BD53F0" w:rsidRPr="0070113D">
              <w:rPr>
                <w:rFonts w:ascii="Arial" w:hAnsi="Arial" w:cs="Arial"/>
                <w:sz w:val="24"/>
                <w:szCs w:val="24"/>
              </w:rPr>
              <w:t xml:space="preserve"> zbog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potreb</w:t>
            </w:r>
            <w:r w:rsidR="00BD53F0" w:rsidRPr="0070113D">
              <w:rPr>
                <w:rFonts w:ascii="Arial" w:hAnsi="Arial" w:cs="Arial"/>
                <w:sz w:val="24"/>
                <w:szCs w:val="24"/>
              </w:rPr>
              <w:t>a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stručnih službi DHMZ-a za redovn</w:t>
            </w:r>
            <w:r w:rsidR="002F4CE9">
              <w:rPr>
                <w:rFonts w:ascii="Arial" w:hAnsi="Arial" w:cs="Arial"/>
                <w:sz w:val="24"/>
                <w:szCs w:val="24"/>
              </w:rPr>
              <w:t>a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 održavanj</w:t>
            </w:r>
            <w:r w:rsidR="00D134C9" w:rsidRPr="0070113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3D77B2" w:rsidRPr="0070113D" w14:paraId="2C95AEB3" w14:textId="77777777" w:rsidTr="007C68CD">
        <w:trPr>
          <w:trHeight w:val="769"/>
        </w:trPr>
        <w:tc>
          <w:tcPr>
            <w:tcW w:w="1430" w:type="dxa"/>
          </w:tcPr>
          <w:p w14:paraId="61CE5DA2" w14:textId="77777777" w:rsidR="003D77B2" w:rsidRPr="0070113D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7BC73A" w14:textId="05B73A2A" w:rsidR="00D134C9" w:rsidRPr="0070113D" w:rsidRDefault="00D134C9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4227</w:t>
            </w:r>
          </w:p>
        </w:tc>
        <w:tc>
          <w:tcPr>
            <w:tcW w:w="737" w:type="dxa"/>
          </w:tcPr>
          <w:p w14:paraId="494CC6AB" w14:textId="77777777" w:rsidR="003D77B2" w:rsidRPr="0070113D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F59BB5" w14:textId="080BECB5" w:rsidR="00D134C9" w:rsidRPr="0070113D" w:rsidRDefault="00D134C9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017" w:type="dxa"/>
          </w:tcPr>
          <w:p w14:paraId="15C50D1B" w14:textId="77777777" w:rsidR="003D77B2" w:rsidRPr="0070113D" w:rsidRDefault="003D77B2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3AD181" w14:textId="7BEF91AA" w:rsidR="00D134C9" w:rsidRPr="0070113D" w:rsidRDefault="00D134C9" w:rsidP="00F93DE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138" w:type="dxa"/>
          </w:tcPr>
          <w:p w14:paraId="5283FD35" w14:textId="0F4DA508" w:rsidR="00FD1D7E" w:rsidRPr="0070113D" w:rsidRDefault="00D134C9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Povećanje se odnosi na nabavu uređaja i opreme za potrebe redovnog rada stručnih službi DHMZ-a</w:t>
            </w:r>
          </w:p>
        </w:tc>
      </w:tr>
      <w:tr w:rsidR="00786F58" w:rsidRPr="0070113D" w14:paraId="37C27DF6" w14:textId="77777777" w:rsidTr="007C68CD">
        <w:trPr>
          <w:trHeight w:val="769"/>
        </w:trPr>
        <w:tc>
          <w:tcPr>
            <w:tcW w:w="1430" w:type="dxa"/>
            <w:vAlign w:val="center"/>
          </w:tcPr>
          <w:p w14:paraId="055BD7B5" w14:textId="77777777" w:rsidR="00786F58" w:rsidRPr="0070113D" w:rsidRDefault="00786F58" w:rsidP="00B916F0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</w:t>
            </w:r>
            <w:r w:rsidR="00B916F0" w:rsidRPr="0070113D">
              <w:rPr>
                <w:rFonts w:ascii="Arial" w:hAnsi="Arial" w:cs="Arial"/>
                <w:sz w:val="24"/>
                <w:szCs w:val="24"/>
              </w:rPr>
              <w:t>3</w:t>
            </w:r>
            <w:r w:rsidRPr="0070113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37" w:type="dxa"/>
            <w:vAlign w:val="center"/>
          </w:tcPr>
          <w:p w14:paraId="2F6EE397" w14:textId="17025B99" w:rsidR="00786F58" w:rsidRPr="0070113D" w:rsidRDefault="00786F58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</w:t>
            </w:r>
            <w:r w:rsidR="00B916F0" w:rsidRPr="0070113D">
              <w:rPr>
                <w:rFonts w:ascii="Arial" w:hAnsi="Arial" w:cs="Arial"/>
                <w:sz w:val="24"/>
                <w:szCs w:val="24"/>
              </w:rPr>
              <w:t>7</w:t>
            </w:r>
            <w:r w:rsidR="00B74580" w:rsidRPr="0070113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center"/>
          </w:tcPr>
          <w:p w14:paraId="4C1DF178" w14:textId="19200CF2" w:rsidR="00786F58" w:rsidRPr="0070113D" w:rsidRDefault="00B7458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2137,7</w:t>
            </w:r>
          </w:p>
        </w:tc>
        <w:tc>
          <w:tcPr>
            <w:tcW w:w="6138" w:type="dxa"/>
            <w:vAlign w:val="center"/>
          </w:tcPr>
          <w:p w14:paraId="33C56BBA" w14:textId="5BF93535" w:rsidR="00786F58" w:rsidRPr="0070113D" w:rsidRDefault="00B916F0" w:rsidP="00B916F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Tijekom 202</w:t>
            </w:r>
            <w:r w:rsidR="00D134C9" w:rsidRPr="0070113D">
              <w:rPr>
                <w:rFonts w:ascii="Arial" w:hAnsi="Arial" w:cs="Arial"/>
                <w:sz w:val="24"/>
                <w:szCs w:val="24"/>
              </w:rPr>
              <w:t>1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134C9" w:rsidRPr="0070113D">
              <w:rPr>
                <w:rFonts w:ascii="Arial" w:hAnsi="Arial" w:cs="Arial"/>
                <w:sz w:val="24"/>
                <w:szCs w:val="24"/>
              </w:rPr>
              <w:t>nabavljeno je 9 novih službenih vozila u okviru EU projekta VEPAR</w:t>
            </w:r>
          </w:p>
        </w:tc>
      </w:tr>
      <w:tr w:rsidR="00B916F0" w:rsidRPr="0070113D" w14:paraId="4FCEC82F" w14:textId="77777777" w:rsidTr="007C68CD">
        <w:trPr>
          <w:trHeight w:val="769"/>
        </w:trPr>
        <w:tc>
          <w:tcPr>
            <w:tcW w:w="1430" w:type="dxa"/>
            <w:vAlign w:val="center"/>
          </w:tcPr>
          <w:p w14:paraId="3B671378" w14:textId="77777777" w:rsidR="00B916F0" w:rsidRPr="0070113D" w:rsidRDefault="00B916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4262</w:t>
            </w:r>
          </w:p>
        </w:tc>
        <w:tc>
          <w:tcPr>
            <w:tcW w:w="737" w:type="dxa"/>
            <w:vAlign w:val="center"/>
          </w:tcPr>
          <w:p w14:paraId="7C62B8E8" w14:textId="77777777" w:rsidR="00B916F0" w:rsidRPr="0070113D" w:rsidRDefault="00B916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017" w:type="dxa"/>
            <w:vAlign w:val="center"/>
          </w:tcPr>
          <w:p w14:paraId="725CA612" w14:textId="77777777" w:rsidR="00B916F0" w:rsidRPr="0070113D" w:rsidRDefault="00B916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18,4</w:t>
            </w:r>
          </w:p>
        </w:tc>
        <w:tc>
          <w:tcPr>
            <w:tcW w:w="6138" w:type="dxa"/>
          </w:tcPr>
          <w:p w14:paraId="675C023D" w14:textId="51852EBA" w:rsidR="00B916F0" w:rsidRPr="0070113D" w:rsidRDefault="00B916F0" w:rsidP="00B916F0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Tijekom 202</w:t>
            </w:r>
            <w:r w:rsidR="00944B3B" w:rsidRPr="0070113D">
              <w:rPr>
                <w:rFonts w:ascii="Arial" w:hAnsi="Arial" w:cs="Arial"/>
                <w:sz w:val="24"/>
                <w:szCs w:val="24"/>
              </w:rPr>
              <w:t>1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944B3B" w:rsidRPr="0070113D">
              <w:rPr>
                <w:rFonts w:ascii="Arial" w:hAnsi="Arial" w:cs="Arial"/>
                <w:sz w:val="24"/>
                <w:szCs w:val="24"/>
              </w:rPr>
              <w:t>za potrebe EU projekta METMONIC nabavljeni su moduli za sustav automastkih meteoroloških postaja, za agregaciju podataka</w:t>
            </w:r>
            <w:r w:rsidR="00087C19" w:rsidRPr="0070113D">
              <w:rPr>
                <w:rFonts w:ascii="Arial" w:hAnsi="Arial" w:cs="Arial"/>
                <w:sz w:val="24"/>
                <w:szCs w:val="24"/>
              </w:rPr>
              <w:t>, za strojnu isporuku podataka itd.</w:t>
            </w:r>
            <w:r w:rsidR="00944B3B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C68CD" w:rsidRPr="0070113D" w14:paraId="3524C0CC" w14:textId="77777777" w:rsidTr="007C68CD">
        <w:trPr>
          <w:trHeight w:val="769"/>
        </w:trPr>
        <w:tc>
          <w:tcPr>
            <w:tcW w:w="1430" w:type="dxa"/>
            <w:vAlign w:val="center"/>
          </w:tcPr>
          <w:p w14:paraId="4AE28DBD" w14:textId="77777777" w:rsidR="007C68CD" w:rsidRPr="0070113D" w:rsidRDefault="007C68CD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737" w:type="dxa"/>
            <w:vAlign w:val="center"/>
          </w:tcPr>
          <w:p w14:paraId="70645D41" w14:textId="6F9A4BAE" w:rsidR="007C68CD" w:rsidRPr="0070113D" w:rsidRDefault="00BD53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017" w:type="dxa"/>
            <w:vAlign w:val="center"/>
          </w:tcPr>
          <w:p w14:paraId="555A7F66" w14:textId="16AAA8E0" w:rsidR="007C68CD" w:rsidRPr="0070113D" w:rsidRDefault="00BD53F0" w:rsidP="007C68CD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  <w:tc>
          <w:tcPr>
            <w:tcW w:w="6138" w:type="dxa"/>
          </w:tcPr>
          <w:p w14:paraId="0BD63E68" w14:textId="5A2494A1" w:rsidR="007C68CD" w:rsidRPr="0070113D" w:rsidRDefault="00BD53F0" w:rsidP="00A1570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0113D">
              <w:rPr>
                <w:rFonts w:ascii="Arial" w:hAnsi="Arial" w:cs="Arial"/>
                <w:sz w:val="24"/>
                <w:szCs w:val="24"/>
              </w:rPr>
              <w:t>Smanjene su potrebe za dodatnim</w:t>
            </w:r>
            <w:r w:rsidR="007C68CD" w:rsidRPr="0070113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0113D">
              <w:rPr>
                <w:rFonts w:ascii="Arial" w:hAnsi="Arial" w:cs="Arial"/>
                <w:sz w:val="24"/>
                <w:szCs w:val="24"/>
              </w:rPr>
              <w:t xml:space="preserve">ulaganjima na postrojenjima i opremi </w:t>
            </w:r>
            <w:r w:rsidR="007C68CD" w:rsidRPr="0070113D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="00B74580" w:rsidRPr="0070113D">
              <w:rPr>
                <w:rFonts w:ascii="Arial" w:hAnsi="Arial" w:cs="Arial"/>
                <w:sz w:val="24"/>
                <w:szCs w:val="24"/>
              </w:rPr>
              <w:t>d</w:t>
            </w:r>
            <w:r w:rsidR="007C68CD" w:rsidRPr="0070113D">
              <w:rPr>
                <w:rFonts w:ascii="Arial" w:hAnsi="Arial" w:cs="Arial"/>
                <w:sz w:val="24"/>
                <w:szCs w:val="24"/>
              </w:rPr>
              <w:t xml:space="preserve">ržavnu mrežu za praćenje kvalitete zraka. </w:t>
            </w:r>
          </w:p>
        </w:tc>
      </w:tr>
    </w:tbl>
    <w:p w14:paraId="5E05219B" w14:textId="77777777" w:rsidR="006C38E0" w:rsidRPr="0070113D" w:rsidRDefault="006C38E0" w:rsidP="00A1570F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05E72CCD" w14:textId="5C13D616" w:rsidR="00A1570F" w:rsidRPr="0070113D" w:rsidRDefault="00A1570F" w:rsidP="00A1570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490EBC">
        <w:rPr>
          <w:rFonts w:ascii="Arial" w:hAnsi="Arial" w:cs="Arial"/>
          <w:sz w:val="24"/>
          <w:szCs w:val="24"/>
        </w:rPr>
        <w:t>Razlika na AOP-u 63</w:t>
      </w:r>
      <w:r w:rsidR="00CF3847">
        <w:rPr>
          <w:rFonts w:ascii="Arial" w:hAnsi="Arial" w:cs="Arial"/>
          <w:sz w:val="24"/>
          <w:szCs w:val="24"/>
        </w:rPr>
        <w:t>8 i AOP 636</w:t>
      </w:r>
      <w:r w:rsidRPr="00490EBC">
        <w:rPr>
          <w:rFonts w:ascii="Arial" w:hAnsi="Arial" w:cs="Arial"/>
          <w:sz w:val="24"/>
          <w:szCs w:val="24"/>
        </w:rPr>
        <w:t xml:space="preserve"> </w:t>
      </w:r>
      <w:r w:rsidRPr="00CF3847">
        <w:rPr>
          <w:rFonts w:ascii="Arial" w:hAnsi="Arial" w:cs="Arial"/>
          <w:i/>
          <w:iCs/>
          <w:sz w:val="24"/>
          <w:szCs w:val="24"/>
        </w:rPr>
        <w:t>Višak prihoda i primitaka - preneseni</w:t>
      </w:r>
      <w:r w:rsidRPr="00490EBC">
        <w:rPr>
          <w:rFonts w:ascii="Arial" w:hAnsi="Arial" w:cs="Arial"/>
          <w:sz w:val="24"/>
          <w:szCs w:val="24"/>
        </w:rPr>
        <w:t xml:space="preserve"> odnosi se na povrate u proračun po obračunima službenih putovanja za koje je isplata akontacije bila u 20</w:t>
      </w:r>
      <w:r w:rsidR="00490EBC" w:rsidRPr="00490EBC">
        <w:rPr>
          <w:rFonts w:ascii="Arial" w:hAnsi="Arial" w:cs="Arial"/>
          <w:sz w:val="24"/>
          <w:szCs w:val="24"/>
        </w:rPr>
        <w:t>20</w:t>
      </w:r>
      <w:r w:rsidRPr="00490EBC">
        <w:rPr>
          <w:rFonts w:ascii="Arial" w:hAnsi="Arial" w:cs="Arial"/>
          <w:sz w:val="24"/>
          <w:szCs w:val="24"/>
        </w:rPr>
        <w:t>. godini, a povrati po obračunu su izvršeni u 20</w:t>
      </w:r>
      <w:r w:rsidR="006C38E0" w:rsidRPr="00490EBC">
        <w:rPr>
          <w:rFonts w:ascii="Arial" w:hAnsi="Arial" w:cs="Arial"/>
          <w:sz w:val="24"/>
          <w:szCs w:val="24"/>
        </w:rPr>
        <w:t>2</w:t>
      </w:r>
      <w:r w:rsidR="00490EBC" w:rsidRPr="00490EBC">
        <w:rPr>
          <w:rFonts w:ascii="Arial" w:hAnsi="Arial" w:cs="Arial"/>
          <w:sz w:val="24"/>
          <w:szCs w:val="24"/>
        </w:rPr>
        <w:t>1</w:t>
      </w:r>
      <w:r w:rsidR="009D610F" w:rsidRPr="00490EBC">
        <w:rPr>
          <w:rFonts w:ascii="Arial" w:hAnsi="Arial" w:cs="Arial"/>
          <w:sz w:val="24"/>
          <w:szCs w:val="24"/>
        </w:rPr>
        <w:t>. godini</w:t>
      </w:r>
      <w:r w:rsidR="00490EBC">
        <w:rPr>
          <w:rFonts w:ascii="Arial" w:hAnsi="Arial" w:cs="Arial"/>
          <w:sz w:val="24"/>
          <w:szCs w:val="24"/>
        </w:rPr>
        <w:t xml:space="preserve">, </w:t>
      </w:r>
      <w:r w:rsidR="00634577">
        <w:rPr>
          <w:rFonts w:ascii="Arial" w:hAnsi="Arial" w:cs="Arial"/>
          <w:sz w:val="24"/>
          <w:szCs w:val="24"/>
        </w:rPr>
        <w:t xml:space="preserve">na </w:t>
      </w:r>
      <w:r w:rsidR="00490EBC">
        <w:rPr>
          <w:rFonts w:ascii="Arial" w:hAnsi="Arial" w:cs="Arial"/>
          <w:sz w:val="24"/>
          <w:szCs w:val="24"/>
        </w:rPr>
        <w:t>povrat</w:t>
      </w:r>
      <w:r w:rsidR="00634577">
        <w:rPr>
          <w:rFonts w:ascii="Arial" w:hAnsi="Arial" w:cs="Arial"/>
          <w:sz w:val="24"/>
          <w:szCs w:val="24"/>
        </w:rPr>
        <w:t xml:space="preserve">e </w:t>
      </w:r>
      <w:r w:rsidR="00490EBC">
        <w:rPr>
          <w:rFonts w:ascii="Arial" w:hAnsi="Arial" w:cs="Arial"/>
          <w:sz w:val="24"/>
          <w:szCs w:val="24"/>
        </w:rPr>
        <w:t>sredstava za materijalne troškove i povrat</w:t>
      </w:r>
      <w:r w:rsidR="00634577">
        <w:rPr>
          <w:rFonts w:ascii="Arial" w:hAnsi="Arial" w:cs="Arial"/>
          <w:sz w:val="24"/>
          <w:szCs w:val="24"/>
        </w:rPr>
        <w:t>e</w:t>
      </w:r>
      <w:r w:rsidR="00490EBC">
        <w:rPr>
          <w:rFonts w:ascii="Arial" w:hAnsi="Arial" w:cs="Arial"/>
          <w:sz w:val="24"/>
          <w:szCs w:val="24"/>
        </w:rPr>
        <w:t xml:space="preserve"> u proračun ostataka sredstava po projektima koji su završeni u 2020. godini</w:t>
      </w:r>
      <w:r w:rsidR="00634577">
        <w:rPr>
          <w:rFonts w:ascii="Arial" w:hAnsi="Arial" w:cs="Arial"/>
          <w:sz w:val="24"/>
          <w:szCs w:val="24"/>
        </w:rPr>
        <w:t>.</w:t>
      </w:r>
    </w:p>
    <w:p w14:paraId="5F79ADB3" w14:textId="5A0996A6" w:rsidR="00D96A5A" w:rsidRDefault="00D96A5A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CE54A5A" w14:textId="436235B0" w:rsidR="00D96A5A" w:rsidRDefault="00D96A5A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9B2765C" w14:textId="77777777" w:rsidR="00D96A5A" w:rsidRPr="005073F1" w:rsidRDefault="00D96A5A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430638" w14:textId="4E2F9BBC" w:rsidR="00C1453B" w:rsidRPr="0070113D" w:rsidRDefault="00C1453B" w:rsidP="00D903B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t>BILJEŠKE UZ IZVJEŠTAJ O OBVEZAMA</w:t>
      </w:r>
    </w:p>
    <w:p w14:paraId="5D3A11B1" w14:textId="77777777" w:rsidR="00C1453B" w:rsidRPr="0070113D" w:rsidRDefault="00C1453B" w:rsidP="00D903B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CC2B35E" w14:textId="5184AC7F" w:rsidR="00D903B1" w:rsidRPr="0070113D" w:rsidRDefault="00D903B1" w:rsidP="004E5D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Do prekoračenja plaćanja od 1 do 60 dana</w:t>
      </w:r>
      <w:r w:rsidR="00C1453B" w:rsidRPr="0070113D">
        <w:rPr>
          <w:rFonts w:ascii="Arial" w:hAnsi="Arial" w:cs="Arial"/>
          <w:sz w:val="24"/>
          <w:szCs w:val="24"/>
        </w:rPr>
        <w:t xml:space="preserve"> (AOP 039)</w:t>
      </w:r>
      <w:r w:rsidRPr="0070113D">
        <w:rPr>
          <w:rFonts w:ascii="Arial" w:hAnsi="Arial" w:cs="Arial"/>
          <w:sz w:val="24"/>
          <w:szCs w:val="24"/>
        </w:rPr>
        <w:t xml:space="preserve"> za obveze za materijalne rashode (</w:t>
      </w:r>
      <w:r w:rsidR="00F379BF" w:rsidRPr="0070113D">
        <w:rPr>
          <w:rFonts w:ascii="Arial" w:hAnsi="Arial" w:cs="Arial"/>
          <w:sz w:val="24"/>
          <w:szCs w:val="24"/>
        </w:rPr>
        <w:t xml:space="preserve">komunalne usluge, </w:t>
      </w:r>
      <w:r w:rsidR="00916816" w:rsidRPr="0070113D">
        <w:rPr>
          <w:rFonts w:ascii="Arial" w:hAnsi="Arial" w:cs="Arial"/>
          <w:sz w:val="24"/>
          <w:szCs w:val="24"/>
        </w:rPr>
        <w:t>372,16</w:t>
      </w:r>
      <w:r w:rsidRPr="0070113D">
        <w:rPr>
          <w:rFonts w:ascii="Arial" w:hAnsi="Arial" w:cs="Arial"/>
          <w:sz w:val="24"/>
          <w:szCs w:val="24"/>
        </w:rPr>
        <w:t xml:space="preserve"> kn) </w:t>
      </w:r>
      <w:r w:rsidR="00C1453B" w:rsidRPr="0070113D">
        <w:rPr>
          <w:rFonts w:ascii="Arial" w:hAnsi="Arial" w:cs="Arial"/>
          <w:sz w:val="24"/>
          <w:szCs w:val="24"/>
        </w:rPr>
        <w:t>došlo je zbog dužeg čekanja</w:t>
      </w:r>
      <w:r w:rsidR="00F379BF" w:rsidRPr="0070113D">
        <w:rPr>
          <w:rFonts w:ascii="Arial" w:hAnsi="Arial" w:cs="Arial"/>
          <w:sz w:val="24"/>
          <w:szCs w:val="24"/>
        </w:rPr>
        <w:t xml:space="preserve"> na</w:t>
      </w:r>
      <w:r w:rsidR="00C1453B" w:rsidRPr="0070113D">
        <w:rPr>
          <w:rFonts w:ascii="Arial" w:hAnsi="Arial" w:cs="Arial"/>
          <w:sz w:val="24"/>
          <w:szCs w:val="24"/>
        </w:rPr>
        <w:t xml:space="preserve"> račun, a prekoračenje u podmi</w:t>
      </w:r>
      <w:r w:rsidR="00F379BF" w:rsidRPr="0070113D">
        <w:rPr>
          <w:rFonts w:ascii="Arial" w:hAnsi="Arial" w:cs="Arial"/>
          <w:sz w:val="24"/>
          <w:szCs w:val="24"/>
        </w:rPr>
        <w:t xml:space="preserve">renju </w:t>
      </w:r>
      <w:r w:rsidRPr="0070113D">
        <w:rPr>
          <w:rFonts w:ascii="Arial" w:hAnsi="Arial" w:cs="Arial"/>
          <w:sz w:val="24"/>
          <w:szCs w:val="24"/>
        </w:rPr>
        <w:t>obvez</w:t>
      </w:r>
      <w:r w:rsidR="00C1453B" w:rsidRPr="0070113D">
        <w:rPr>
          <w:rFonts w:ascii="Arial" w:hAnsi="Arial" w:cs="Arial"/>
          <w:sz w:val="24"/>
          <w:szCs w:val="24"/>
        </w:rPr>
        <w:t>e</w:t>
      </w:r>
      <w:r w:rsidRPr="0070113D">
        <w:rPr>
          <w:rFonts w:ascii="Arial" w:hAnsi="Arial" w:cs="Arial"/>
          <w:sz w:val="24"/>
          <w:szCs w:val="24"/>
        </w:rPr>
        <w:t xml:space="preserve"> za </w:t>
      </w:r>
      <w:r w:rsidR="00916816" w:rsidRPr="0070113D">
        <w:rPr>
          <w:rFonts w:ascii="Arial" w:hAnsi="Arial" w:cs="Arial"/>
          <w:sz w:val="24"/>
          <w:szCs w:val="24"/>
        </w:rPr>
        <w:t>nabavu nefinancijske imovine</w:t>
      </w:r>
      <w:r w:rsidRPr="0070113D">
        <w:rPr>
          <w:rFonts w:ascii="Arial" w:hAnsi="Arial" w:cs="Arial"/>
          <w:sz w:val="24"/>
          <w:szCs w:val="24"/>
        </w:rPr>
        <w:t xml:space="preserve"> (</w:t>
      </w:r>
      <w:r w:rsidR="00916816" w:rsidRPr="0070113D">
        <w:rPr>
          <w:rFonts w:ascii="Arial" w:hAnsi="Arial" w:cs="Arial"/>
          <w:sz w:val="24"/>
          <w:szCs w:val="24"/>
        </w:rPr>
        <w:t>40,00</w:t>
      </w:r>
      <w:r w:rsidRPr="0070113D">
        <w:rPr>
          <w:rFonts w:ascii="Arial" w:hAnsi="Arial" w:cs="Arial"/>
          <w:sz w:val="24"/>
          <w:szCs w:val="24"/>
        </w:rPr>
        <w:t xml:space="preserve"> kn) došlo je zbog </w:t>
      </w:r>
      <w:r w:rsidR="00C1453B" w:rsidRPr="0070113D">
        <w:rPr>
          <w:rFonts w:ascii="Arial" w:hAnsi="Arial" w:cs="Arial"/>
          <w:sz w:val="24"/>
          <w:szCs w:val="24"/>
        </w:rPr>
        <w:t>pogreške prilikom upisivanja iznosa u državnu riznicu</w:t>
      </w:r>
      <w:r w:rsidR="00F379BF" w:rsidRPr="0070113D">
        <w:rPr>
          <w:rFonts w:ascii="Arial" w:hAnsi="Arial" w:cs="Arial"/>
          <w:sz w:val="24"/>
          <w:szCs w:val="24"/>
        </w:rPr>
        <w:t>. Obveze su podmirene u siječnju 2022. godine.</w:t>
      </w:r>
    </w:p>
    <w:p w14:paraId="7EC79025" w14:textId="3BD30AC9" w:rsidR="00D635B9" w:rsidRDefault="00D635B9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A519C49" w14:textId="77777777" w:rsidR="004E5D87" w:rsidRPr="0070113D" w:rsidRDefault="004E5D87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8F1D8B9" w14:textId="3DBC3B46" w:rsidR="00D903B1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0113D">
        <w:rPr>
          <w:rFonts w:ascii="Arial" w:eastAsia="Times New Roman" w:hAnsi="Arial" w:cs="Arial"/>
          <w:sz w:val="24"/>
          <w:szCs w:val="24"/>
          <w:lang w:eastAsia="hr-HR"/>
        </w:rPr>
        <w:t>Nema sudskih sporova.</w:t>
      </w:r>
    </w:p>
    <w:p w14:paraId="793AB21C" w14:textId="5BCFD987" w:rsidR="004B2C82" w:rsidRDefault="004B2C82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FD8E589" w14:textId="0008FF09" w:rsidR="004B2C82" w:rsidRDefault="004B2C82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2CA51A" w14:textId="6FC6D66C" w:rsidR="00634577" w:rsidRDefault="00634577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A1CDE27" w14:textId="00834DD2" w:rsidR="00634577" w:rsidRDefault="00634577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84D27FD" w14:textId="5303DF50" w:rsidR="00634577" w:rsidRDefault="00634577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69AF387" w14:textId="117D585D" w:rsidR="00634577" w:rsidRDefault="00634577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10B3A4DB" w14:textId="77777777" w:rsidR="00634577" w:rsidRDefault="00634577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44C809C" w14:textId="4A8B28F2" w:rsidR="00603AE4" w:rsidRPr="0070113D" w:rsidRDefault="00603AE4" w:rsidP="00603AE4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13D">
        <w:rPr>
          <w:rFonts w:ascii="Arial" w:hAnsi="Arial" w:cs="Arial"/>
          <w:b/>
          <w:bCs/>
          <w:sz w:val="24"/>
          <w:szCs w:val="24"/>
        </w:rPr>
        <w:lastRenderedPageBreak/>
        <w:t>BILJEŠKE UZ IZVJEŠTAJ O PROMJENAMA U VRIJEDNOSTI I OBUJMU IMOVINE I OBVEZA</w:t>
      </w:r>
    </w:p>
    <w:p w14:paraId="63EA0847" w14:textId="77777777" w:rsidR="00603AE4" w:rsidRPr="0070113D" w:rsidRDefault="00603AE4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BC59F1" w14:textId="75C0D9E5" w:rsidR="00ED5746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U obrascu P-VRIO, </w:t>
      </w:r>
      <w:r w:rsidR="00ED5746">
        <w:rPr>
          <w:rFonts w:ascii="Arial" w:eastAsia="Times New Roman" w:hAnsi="Arial" w:cs="Arial"/>
          <w:sz w:val="24"/>
          <w:szCs w:val="24"/>
          <w:lang w:eastAsia="hr-HR"/>
        </w:rPr>
        <w:t>promjene u vrijednosti i obujmu imovine – do smanjenja u obujmu imovine za 80.928 kn došlo je zbog rashodovanja neupotrebljive, uništ</w:t>
      </w:r>
      <w:r w:rsidR="000D0158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ED5746">
        <w:rPr>
          <w:rFonts w:ascii="Arial" w:eastAsia="Times New Roman" w:hAnsi="Arial" w:cs="Arial"/>
          <w:sz w:val="24"/>
          <w:szCs w:val="24"/>
          <w:lang w:eastAsia="hr-HR"/>
        </w:rPr>
        <w:t>ne i dotrajale imovine te zbog otpisa potraživanja za</w:t>
      </w:r>
      <w:r w:rsidR="000D0158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D5746">
        <w:rPr>
          <w:rFonts w:ascii="Arial" w:eastAsia="Times New Roman" w:hAnsi="Arial" w:cs="Arial"/>
          <w:sz w:val="24"/>
          <w:szCs w:val="24"/>
          <w:lang w:eastAsia="hr-HR"/>
        </w:rPr>
        <w:t>prihode poslovanja</w:t>
      </w:r>
      <w:r w:rsidR="000D0158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ED574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E3368F2" w14:textId="1C58A105" w:rsidR="00DB7B7A" w:rsidRDefault="000D015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Do </w:t>
      </w:r>
      <w:r w:rsidR="00EC0498" w:rsidRPr="002839F9">
        <w:rPr>
          <w:rFonts w:ascii="Arial" w:eastAsia="Times New Roman" w:hAnsi="Arial" w:cs="Arial"/>
          <w:sz w:val="24"/>
          <w:szCs w:val="24"/>
          <w:lang w:eastAsia="hr-HR"/>
        </w:rPr>
        <w:t>p</w:t>
      </w:r>
      <w:r w:rsidR="00DB7B7A">
        <w:rPr>
          <w:rFonts w:ascii="Arial" w:eastAsia="Times New Roman" w:hAnsi="Arial" w:cs="Arial"/>
          <w:sz w:val="24"/>
          <w:szCs w:val="24"/>
          <w:lang w:eastAsia="hr-HR"/>
        </w:rPr>
        <w:t>ovećanj</w:t>
      </w:r>
      <w:r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EC0498"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u vrijednosti i obujmu imovine u visini od </w:t>
      </w:r>
      <w:r w:rsidR="00DB7B7A">
        <w:rPr>
          <w:rFonts w:ascii="Arial" w:eastAsia="Times New Roman" w:hAnsi="Arial" w:cs="Arial"/>
          <w:sz w:val="24"/>
          <w:szCs w:val="24"/>
          <w:lang w:eastAsia="hr-HR"/>
        </w:rPr>
        <w:t>99.430</w:t>
      </w:r>
      <w:r w:rsidR="00EC0498"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kn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došlo je zbog </w:t>
      </w:r>
      <w:r w:rsidR="00EC0498" w:rsidRPr="002839F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DB7B7A">
        <w:rPr>
          <w:rFonts w:ascii="Arial" w:eastAsia="Times New Roman" w:hAnsi="Arial" w:cs="Arial"/>
          <w:sz w:val="24"/>
          <w:szCs w:val="24"/>
          <w:lang w:eastAsia="hr-HR"/>
        </w:rPr>
        <w:t>utvrđen</w:t>
      </w:r>
      <w:r>
        <w:rPr>
          <w:rFonts w:ascii="Arial" w:eastAsia="Times New Roman" w:hAnsi="Arial" w:cs="Arial"/>
          <w:sz w:val="24"/>
          <w:szCs w:val="24"/>
          <w:lang w:eastAsia="hr-HR"/>
        </w:rPr>
        <w:t>og</w:t>
      </w:r>
      <w:r w:rsidR="00DB7B7A">
        <w:rPr>
          <w:rFonts w:ascii="Arial" w:eastAsia="Times New Roman" w:hAnsi="Arial" w:cs="Arial"/>
          <w:sz w:val="24"/>
          <w:szCs w:val="24"/>
          <w:lang w:eastAsia="hr-HR"/>
        </w:rPr>
        <w:t xml:space="preserve"> viš</w:t>
      </w:r>
      <w:r>
        <w:rPr>
          <w:rFonts w:ascii="Arial" w:eastAsia="Times New Roman" w:hAnsi="Arial" w:cs="Arial"/>
          <w:sz w:val="24"/>
          <w:szCs w:val="24"/>
          <w:lang w:eastAsia="hr-HR"/>
        </w:rPr>
        <w:t>ka</w:t>
      </w:r>
      <w:r w:rsidR="00DB7B7A">
        <w:rPr>
          <w:rFonts w:ascii="Arial" w:eastAsia="Times New Roman" w:hAnsi="Arial" w:cs="Arial"/>
          <w:sz w:val="24"/>
          <w:szCs w:val="24"/>
          <w:lang w:eastAsia="hr-HR"/>
        </w:rPr>
        <w:t xml:space="preserve"> po obavljenom godišnjem popisu imovine i obveza za 2021. godinu (prema procjeni povjerenstva za popis imovine)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7ADE35EA" w14:textId="2C2A7753" w:rsidR="00EC0498" w:rsidRPr="0070113D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43083A4" w14:textId="04371847" w:rsidR="00F83DCC" w:rsidRPr="0070113D" w:rsidRDefault="00F83DCC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50AB0C45" w14:textId="553B6AE5" w:rsidR="00F83DCC" w:rsidRPr="0070113D" w:rsidRDefault="00F83DCC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7011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BILJEŠKE UZ IZVJEŠTAJ O RASHODIMA PREMA FUNKCIJSKOJ KLASIFIKACIJI</w:t>
      </w:r>
    </w:p>
    <w:p w14:paraId="6380C2C2" w14:textId="5DBC7812" w:rsidR="00F83DCC" w:rsidRPr="0070113D" w:rsidRDefault="00F83DCC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14:paraId="22574473" w14:textId="50FCB67C" w:rsidR="00F83DCC" w:rsidRPr="0070113D" w:rsidRDefault="00F83DCC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7011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AOP 033</w:t>
      </w:r>
      <w:r w:rsidR="00E50A78" w:rsidRPr="0070113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  <w:r w:rsidRPr="0070113D">
        <w:rPr>
          <w:rFonts w:ascii="Arial" w:eastAsia="Times New Roman" w:hAnsi="Arial" w:cs="Arial"/>
          <w:sz w:val="24"/>
          <w:szCs w:val="24"/>
          <w:lang w:eastAsia="hr-HR"/>
        </w:rPr>
        <w:t>Rashodi za opće ekonomske i i trgovačke poslove</w:t>
      </w:r>
      <w:r w:rsidR="00E50A78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 – zabilježen je porast od 29,7%</w:t>
      </w:r>
      <w:r w:rsidR="00673DA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50A78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u odnosu na prethodno promatrano razdoblje, a </w:t>
      </w:r>
      <w:r w:rsidR="00805CA7" w:rsidRPr="0070113D">
        <w:rPr>
          <w:rFonts w:ascii="Arial" w:eastAsia="Times New Roman" w:hAnsi="Arial" w:cs="Arial"/>
          <w:sz w:val="24"/>
          <w:szCs w:val="24"/>
          <w:lang w:eastAsia="hr-HR"/>
        </w:rPr>
        <w:t>razlog je provedba projekta AIRQ koji je u završnoj fazi provedbe i provedba projekta METMONIC koji se nalazi u zreloj fazi provedbe</w:t>
      </w:r>
      <w:r w:rsidR="000E0E24" w:rsidRPr="0070113D">
        <w:rPr>
          <w:rFonts w:ascii="Arial" w:eastAsia="Times New Roman" w:hAnsi="Arial" w:cs="Arial"/>
          <w:sz w:val="24"/>
          <w:szCs w:val="24"/>
          <w:lang w:eastAsia="hr-HR"/>
        </w:rPr>
        <w:t xml:space="preserve"> gdje na naplatu dospijevaju obveze ugovorene u postupcima javne nabave.</w:t>
      </w:r>
    </w:p>
    <w:p w14:paraId="39C73FA1" w14:textId="48EA8B60" w:rsidR="00EC0498" w:rsidRDefault="00EC0498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8F1C740" w14:textId="0FC18411" w:rsidR="00F05EC2" w:rsidRDefault="00F05EC2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A0DE327" w14:textId="77777777" w:rsidR="00E53CC1" w:rsidRDefault="00E53CC1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0DF43E12" w14:textId="4F44425B" w:rsidR="00E53CC1" w:rsidRDefault="00E53CC1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Prilozi:</w:t>
      </w:r>
      <w:r w:rsidR="004E5D87">
        <w:rPr>
          <w:rFonts w:ascii="Arial" w:eastAsia="Times New Roman" w:hAnsi="Arial" w:cs="Arial"/>
          <w:sz w:val="24"/>
          <w:szCs w:val="24"/>
          <w:lang w:eastAsia="hr-HR"/>
        </w:rPr>
        <w:tab/>
        <w:t>T</w:t>
      </w:r>
      <w:r>
        <w:rPr>
          <w:rFonts w:ascii="Arial" w:eastAsia="Times New Roman" w:hAnsi="Arial" w:cs="Arial"/>
          <w:sz w:val="24"/>
          <w:szCs w:val="24"/>
          <w:lang w:eastAsia="hr-HR"/>
        </w:rPr>
        <w:t>ablica 1</w:t>
      </w:r>
      <w:r w:rsidR="004E5D87">
        <w:rPr>
          <w:rFonts w:ascii="Arial" w:eastAsia="Times New Roman" w:hAnsi="Arial" w:cs="Arial"/>
          <w:sz w:val="24"/>
          <w:szCs w:val="24"/>
          <w:lang w:eastAsia="hr-HR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Izvanbilančni zapisi</w:t>
      </w:r>
    </w:p>
    <w:p w14:paraId="02FFDA70" w14:textId="421DA080" w:rsidR="00E53CC1" w:rsidRDefault="004E5D87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  <w:t>T</w:t>
      </w:r>
      <w:r w:rsidR="00E53CC1">
        <w:rPr>
          <w:rFonts w:ascii="Arial" w:eastAsia="Times New Roman" w:hAnsi="Arial" w:cs="Arial"/>
          <w:sz w:val="24"/>
          <w:szCs w:val="24"/>
          <w:lang w:eastAsia="hr-HR"/>
        </w:rPr>
        <w:t xml:space="preserve">ablica 2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- </w:t>
      </w:r>
      <w:r w:rsidR="00E53CC1">
        <w:rPr>
          <w:rFonts w:ascii="Arial" w:eastAsia="Times New Roman" w:hAnsi="Arial" w:cs="Arial"/>
          <w:sz w:val="24"/>
          <w:szCs w:val="24"/>
          <w:lang w:eastAsia="hr-HR"/>
        </w:rPr>
        <w:t>Izvanbilančna evidencija - ugovori</w:t>
      </w:r>
    </w:p>
    <w:p w14:paraId="4187E4CC" w14:textId="77777777" w:rsidR="00E53CC1" w:rsidRPr="0070113D" w:rsidRDefault="00E53CC1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BE0D370" w14:textId="51CFF65B" w:rsidR="00FB4510" w:rsidRDefault="00FB4510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322ADAD3" w14:textId="77777777" w:rsidR="00E53CC1" w:rsidRPr="0070113D" w:rsidRDefault="00E53CC1" w:rsidP="008E0E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B1C4242" w14:textId="77777777" w:rsidR="007C7D78" w:rsidRPr="0070113D" w:rsidRDefault="007C7D7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 xml:space="preserve">Bilješke sastavila: </w:t>
      </w:r>
    </w:p>
    <w:p w14:paraId="3626BE43" w14:textId="70C21396" w:rsidR="007C7D78" w:rsidRPr="0070113D" w:rsidRDefault="00EC049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Renata Šilec-Hainš,</w:t>
      </w:r>
      <w:r w:rsidR="007C7D78" w:rsidRPr="0070113D">
        <w:rPr>
          <w:rFonts w:ascii="Arial" w:hAnsi="Arial" w:cs="Arial"/>
          <w:sz w:val="24"/>
          <w:szCs w:val="24"/>
        </w:rPr>
        <w:t xml:space="preserve"> dipl.oec</w:t>
      </w:r>
    </w:p>
    <w:p w14:paraId="075DD38E" w14:textId="77777777" w:rsidR="006C38E0" w:rsidRPr="0070113D" w:rsidRDefault="00EC049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Služba za financije i računovodstvo</w:t>
      </w:r>
      <w:r w:rsidR="006C38E0" w:rsidRPr="0070113D">
        <w:rPr>
          <w:rFonts w:ascii="Arial" w:hAnsi="Arial" w:cs="Arial"/>
          <w:sz w:val="24"/>
          <w:szCs w:val="24"/>
        </w:rPr>
        <w:t xml:space="preserve"> </w:t>
      </w:r>
    </w:p>
    <w:p w14:paraId="35899F71" w14:textId="77777777" w:rsidR="007C7D78" w:rsidRPr="0070113D" w:rsidRDefault="00EC0498" w:rsidP="007C7D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e-mail: silec</w:t>
      </w:r>
      <w:r w:rsidR="007C7D78" w:rsidRPr="0070113D">
        <w:rPr>
          <w:rFonts w:ascii="Arial" w:hAnsi="Arial" w:cs="Arial"/>
          <w:sz w:val="24"/>
          <w:szCs w:val="24"/>
        </w:rPr>
        <w:t>@cirus.dhz.hr</w:t>
      </w:r>
    </w:p>
    <w:p w14:paraId="7BB67602" w14:textId="77777777" w:rsidR="007C7D78" w:rsidRPr="0070113D" w:rsidRDefault="007C7D78" w:rsidP="007C7D78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>01/4565-788</w:t>
      </w:r>
    </w:p>
    <w:p w14:paraId="21DA2144" w14:textId="77777777" w:rsidR="007C7D78" w:rsidRPr="0070113D" w:rsidRDefault="007C7D78" w:rsidP="00647942">
      <w:pPr>
        <w:jc w:val="right"/>
        <w:rPr>
          <w:rFonts w:ascii="Arial" w:hAnsi="Arial" w:cs="Arial"/>
          <w:sz w:val="24"/>
          <w:szCs w:val="24"/>
        </w:rPr>
      </w:pPr>
    </w:p>
    <w:p w14:paraId="483AEEF7" w14:textId="62515955" w:rsidR="001A54D2" w:rsidRPr="0070113D" w:rsidRDefault="007A5B80" w:rsidP="00647942">
      <w:pPr>
        <w:jc w:val="right"/>
        <w:rPr>
          <w:rFonts w:ascii="Arial" w:hAnsi="Arial" w:cs="Arial"/>
          <w:sz w:val="24"/>
          <w:szCs w:val="24"/>
        </w:rPr>
      </w:pPr>
      <w:r w:rsidRPr="0070113D">
        <w:rPr>
          <w:rFonts w:ascii="Arial" w:hAnsi="Arial" w:cs="Arial"/>
          <w:sz w:val="24"/>
          <w:szCs w:val="24"/>
        </w:rPr>
        <w:t xml:space="preserve">Zagreb, </w:t>
      </w:r>
      <w:r w:rsidR="00D96A5A">
        <w:rPr>
          <w:rFonts w:ascii="Arial" w:hAnsi="Arial" w:cs="Arial"/>
          <w:sz w:val="24"/>
          <w:szCs w:val="24"/>
        </w:rPr>
        <w:t>4</w:t>
      </w:r>
      <w:r w:rsidR="00E728BC" w:rsidRPr="0070113D">
        <w:rPr>
          <w:rFonts w:ascii="Arial" w:hAnsi="Arial" w:cs="Arial"/>
          <w:sz w:val="24"/>
          <w:szCs w:val="24"/>
        </w:rPr>
        <w:t xml:space="preserve">. </w:t>
      </w:r>
      <w:r w:rsidR="00D96A5A">
        <w:rPr>
          <w:rFonts w:ascii="Arial" w:hAnsi="Arial" w:cs="Arial"/>
          <w:sz w:val="24"/>
          <w:szCs w:val="24"/>
        </w:rPr>
        <w:t>veljače</w:t>
      </w:r>
      <w:r w:rsidR="00044F72" w:rsidRPr="0070113D">
        <w:rPr>
          <w:rFonts w:ascii="Arial" w:hAnsi="Arial" w:cs="Arial"/>
          <w:sz w:val="24"/>
          <w:szCs w:val="24"/>
        </w:rPr>
        <w:t xml:space="preserve"> </w:t>
      </w:r>
      <w:r w:rsidR="00E728BC" w:rsidRPr="0070113D">
        <w:rPr>
          <w:rFonts w:ascii="Arial" w:hAnsi="Arial" w:cs="Arial"/>
          <w:sz w:val="24"/>
          <w:szCs w:val="24"/>
        </w:rPr>
        <w:t>20</w:t>
      </w:r>
      <w:r w:rsidR="009C6D4C" w:rsidRPr="0070113D">
        <w:rPr>
          <w:rFonts w:ascii="Arial" w:hAnsi="Arial" w:cs="Arial"/>
          <w:sz w:val="24"/>
          <w:szCs w:val="24"/>
        </w:rPr>
        <w:t>2</w:t>
      </w:r>
      <w:r w:rsidR="00FB7EA5" w:rsidRPr="0070113D">
        <w:rPr>
          <w:rFonts w:ascii="Arial" w:hAnsi="Arial" w:cs="Arial"/>
          <w:sz w:val="24"/>
          <w:szCs w:val="24"/>
        </w:rPr>
        <w:t>2</w:t>
      </w:r>
      <w:r w:rsidR="00E728BC" w:rsidRPr="0070113D">
        <w:rPr>
          <w:rFonts w:ascii="Arial" w:hAnsi="Arial" w:cs="Arial"/>
          <w:sz w:val="24"/>
          <w:szCs w:val="24"/>
        </w:rPr>
        <w:t>.</w:t>
      </w:r>
    </w:p>
    <w:sectPr w:rsidR="001A54D2" w:rsidRPr="0070113D" w:rsidSect="00B1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10C"/>
    <w:rsid w:val="000236C4"/>
    <w:rsid w:val="000406ED"/>
    <w:rsid w:val="00044F72"/>
    <w:rsid w:val="00062C06"/>
    <w:rsid w:val="000656FE"/>
    <w:rsid w:val="00085DCE"/>
    <w:rsid w:val="00087C19"/>
    <w:rsid w:val="00092577"/>
    <w:rsid w:val="00094A29"/>
    <w:rsid w:val="000A5546"/>
    <w:rsid w:val="000D0158"/>
    <w:rsid w:val="000D2320"/>
    <w:rsid w:val="000E0E24"/>
    <w:rsid w:val="0011356B"/>
    <w:rsid w:val="001264C4"/>
    <w:rsid w:val="001412C0"/>
    <w:rsid w:val="0014337B"/>
    <w:rsid w:val="001435F8"/>
    <w:rsid w:val="00164320"/>
    <w:rsid w:val="00171BCD"/>
    <w:rsid w:val="001906E1"/>
    <w:rsid w:val="001A4485"/>
    <w:rsid w:val="001A4558"/>
    <w:rsid w:val="001A54D2"/>
    <w:rsid w:val="001A6AEE"/>
    <w:rsid w:val="001B073E"/>
    <w:rsid w:val="001B64EC"/>
    <w:rsid w:val="001C3FA3"/>
    <w:rsid w:val="001D1015"/>
    <w:rsid w:val="001E59AC"/>
    <w:rsid w:val="001F2DCA"/>
    <w:rsid w:val="002051AF"/>
    <w:rsid w:val="00205D17"/>
    <w:rsid w:val="00206FF3"/>
    <w:rsid w:val="002166FE"/>
    <w:rsid w:val="00220346"/>
    <w:rsid w:val="00236D16"/>
    <w:rsid w:val="0024313A"/>
    <w:rsid w:val="0025645D"/>
    <w:rsid w:val="002728C3"/>
    <w:rsid w:val="00281377"/>
    <w:rsid w:val="002839F9"/>
    <w:rsid w:val="0028749F"/>
    <w:rsid w:val="002A0C8B"/>
    <w:rsid w:val="002E2055"/>
    <w:rsid w:val="002F4CE9"/>
    <w:rsid w:val="002F5B73"/>
    <w:rsid w:val="002F7D56"/>
    <w:rsid w:val="0030710C"/>
    <w:rsid w:val="003152CA"/>
    <w:rsid w:val="00346B5F"/>
    <w:rsid w:val="00362A39"/>
    <w:rsid w:val="00366BB8"/>
    <w:rsid w:val="003B181C"/>
    <w:rsid w:val="003D4B37"/>
    <w:rsid w:val="003D6BDF"/>
    <w:rsid w:val="003D77B2"/>
    <w:rsid w:val="003F2F41"/>
    <w:rsid w:val="00405119"/>
    <w:rsid w:val="00424DD7"/>
    <w:rsid w:val="004317F7"/>
    <w:rsid w:val="004334CD"/>
    <w:rsid w:val="00435055"/>
    <w:rsid w:val="00440E3C"/>
    <w:rsid w:val="004502F9"/>
    <w:rsid w:val="004504D1"/>
    <w:rsid w:val="00452E52"/>
    <w:rsid w:val="00457A77"/>
    <w:rsid w:val="00461E7F"/>
    <w:rsid w:val="00470AED"/>
    <w:rsid w:val="004727FB"/>
    <w:rsid w:val="00485565"/>
    <w:rsid w:val="0048760B"/>
    <w:rsid w:val="00490EBC"/>
    <w:rsid w:val="0049333A"/>
    <w:rsid w:val="004A3547"/>
    <w:rsid w:val="004B2C82"/>
    <w:rsid w:val="004B3A07"/>
    <w:rsid w:val="004C0B94"/>
    <w:rsid w:val="004C52A2"/>
    <w:rsid w:val="004C5586"/>
    <w:rsid w:val="004D0FA1"/>
    <w:rsid w:val="004D2EB2"/>
    <w:rsid w:val="004E5D87"/>
    <w:rsid w:val="004F0143"/>
    <w:rsid w:val="004F59FF"/>
    <w:rsid w:val="00503F88"/>
    <w:rsid w:val="0050474F"/>
    <w:rsid w:val="00505D3E"/>
    <w:rsid w:val="005073F1"/>
    <w:rsid w:val="005132B8"/>
    <w:rsid w:val="005230C2"/>
    <w:rsid w:val="00531F17"/>
    <w:rsid w:val="00540944"/>
    <w:rsid w:val="005702A3"/>
    <w:rsid w:val="00572F84"/>
    <w:rsid w:val="00574468"/>
    <w:rsid w:val="00577E0A"/>
    <w:rsid w:val="005A29AA"/>
    <w:rsid w:val="005A5834"/>
    <w:rsid w:val="005D6307"/>
    <w:rsid w:val="005E234C"/>
    <w:rsid w:val="005F2DED"/>
    <w:rsid w:val="005F56E9"/>
    <w:rsid w:val="00602B33"/>
    <w:rsid w:val="00603AE4"/>
    <w:rsid w:val="00607393"/>
    <w:rsid w:val="0060799C"/>
    <w:rsid w:val="00610EE8"/>
    <w:rsid w:val="00614943"/>
    <w:rsid w:val="006336FB"/>
    <w:rsid w:val="00634577"/>
    <w:rsid w:val="00643A7B"/>
    <w:rsid w:val="00643AF5"/>
    <w:rsid w:val="006478B8"/>
    <w:rsid w:val="00647942"/>
    <w:rsid w:val="00655523"/>
    <w:rsid w:val="006615D6"/>
    <w:rsid w:val="00662956"/>
    <w:rsid w:val="00663173"/>
    <w:rsid w:val="00673280"/>
    <w:rsid w:val="00673DAD"/>
    <w:rsid w:val="006836F5"/>
    <w:rsid w:val="00686F2B"/>
    <w:rsid w:val="00692362"/>
    <w:rsid w:val="00697F1C"/>
    <w:rsid w:val="006A18FD"/>
    <w:rsid w:val="006A3697"/>
    <w:rsid w:val="006A61F3"/>
    <w:rsid w:val="006B114D"/>
    <w:rsid w:val="006B3241"/>
    <w:rsid w:val="006B6E2A"/>
    <w:rsid w:val="006C2508"/>
    <w:rsid w:val="006C38E0"/>
    <w:rsid w:val="006C3E31"/>
    <w:rsid w:val="006D1544"/>
    <w:rsid w:val="006D5AB8"/>
    <w:rsid w:val="006F2D4B"/>
    <w:rsid w:val="006F4764"/>
    <w:rsid w:val="0070113D"/>
    <w:rsid w:val="007161BE"/>
    <w:rsid w:val="00723092"/>
    <w:rsid w:val="007262E2"/>
    <w:rsid w:val="00732962"/>
    <w:rsid w:val="00734C22"/>
    <w:rsid w:val="00745C5E"/>
    <w:rsid w:val="00753EF3"/>
    <w:rsid w:val="007541DC"/>
    <w:rsid w:val="00755489"/>
    <w:rsid w:val="00770177"/>
    <w:rsid w:val="00772E6A"/>
    <w:rsid w:val="00777944"/>
    <w:rsid w:val="0078112C"/>
    <w:rsid w:val="00786F58"/>
    <w:rsid w:val="00791193"/>
    <w:rsid w:val="00797DAE"/>
    <w:rsid w:val="007A252A"/>
    <w:rsid w:val="007A5B80"/>
    <w:rsid w:val="007C220B"/>
    <w:rsid w:val="007C68CD"/>
    <w:rsid w:val="007C7D78"/>
    <w:rsid w:val="007D0A8F"/>
    <w:rsid w:val="007D1D0D"/>
    <w:rsid w:val="007F3F69"/>
    <w:rsid w:val="00800456"/>
    <w:rsid w:val="00805988"/>
    <w:rsid w:val="00805CA7"/>
    <w:rsid w:val="00812D10"/>
    <w:rsid w:val="00816516"/>
    <w:rsid w:val="00840B6F"/>
    <w:rsid w:val="00857752"/>
    <w:rsid w:val="00861904"/>
    <w:rsid w:val="00862F45"/>
    <w:rsid w:val="008631F9"/>
    <w:rsid w:val="00866767"/>
    <w:rsid w:val="00867419"/>
    <w:rsid w:val="0087215B"/>
    <w:rsid w:val="008774B9"/>
    <w:rsid w:val="00890FEE"/>
    <w:rsid w:val="008D0277"/>
    <w:rsid w:val="008D0A5C"/>
    <w:rsid w:val="008D4C15"/>
    <w:rsid w:val="008E0E37"/>
    <w:rsid w:val="008E0F0B"/>
    <w:rsid w:val="008F1B63"/>
    <w:rsid w:val="00901B00"/>
    <w:rsid w:val="009130D4"/>
    <w:rsid w:val="00916816"/>
    <w:rsid w:val="00923183"/>
    <w:rsid w:val="00935B24"/>
    <w:rsid w:val="00935BCF"/>
    <w:rsid w:val="009432A5"/>
    <w:rsid w:val="00944B3B"/>
    <w:rsid w:val="009506BD"/>
    <w:rsid w:val="00957C5F"/>
    <w:rsid w:val="00961494"/>
    <w:rsid w:val="009648C1"/>
    <w:rsid w:val="00965AB0"/>
    <w:rsid w:val="009756BC"/>
    <w:rsid w:val="00986F46"/>
    <w:rsid w:val="00994647"/>
    <w:rsid w:val="009C0B91"/>
    <w:rsid w:val="009C1DE5"/>
    <w:rsid w:val="009C6D4C"/>
    <w:rsid w:val="009D07FB"/>
    <w:rsid w:val="009D610F"/>
    <w:rsid w:val="009D6E59"/>
    <w:rsid w:val="009E4115"/>
    <w:rsid w:val="009F60FB"/>
    <w:rsid w:val="009F6E8E"/>
    <w:rsid w:val="00A058CE"/>
    <w:rsid w:val="00A05EAB"/>
    <w:rsid w:val="00A12C83"/>
    <w:rsid w:val="00A156FC"/>
    <w:rsid w:val="00A1570F"/>
    <w:rsid w:val="00A15B23"/>
    <w:rsid w:val="00A164D4"/>
    <w:rsid w:val="00A20049"/>
    <w:rsid w:val="00A22FAA"/>
    <w:rsid w:val="00A2501D"/>
    <w:rsid w:val="00A331A4"/>
    <w:rsid w:val="00A34B87"/>
    <w:rsid w:val="00A4720D"/>
    <w:rsid w:val="00A53D78"/>
    <w:rsid w:val="00A54356"/>
    <w:rsid w:val="00A72602"/>
    <w:rsid w:val="00A80C34"/>
    <w:rsid w:val="00AA7E4E"/>
    <w:rsid w:val="00AD0CFD"/>
    <w:rsid w:val="00AF57B3"/>
    <w:rsid w:val="00B0463C"/>
    <w:rsid w:val="00B16BA4"/>
    <w:rsid w:val="00B3148C"/>
    <w:rsid w:val="00B333A0"/>
    <w:rsid w:val="00B40C45"/>
    <w:rsid w:val="00B457D1"/>
    <w:rsid w:val="00B54F78"/>
    <w:rsid w:val="00B613C0"/>
    <w:rsid w:val="00B660E5"/>
    <w:rsid w:val="00B672E7"/>
    <w:rsid w:val="00B74580"/>
    <w:rsid w:val="00B82018"/>
    <w:rsid w:val="00B86D1C"/>
    <w:rsid w:val="00B916F0"/>
    <w:rsid w:val="00B9478C"/>
    <w:rsid w:val="00BB7A6D"/>
    <w:rsid w:val="00BD53F0"/>
    <w:rsid w:val="00BE263B"/>
    <w:rsid w:val="00BE69B1"/>
    <w:rsid w:val="00C11E26"/>
    <w:rsid w:val="00C1453B"/>
    <w:rsid w:val="00C30059"/>
    <w:rsid w:val="00C329A6"/>
    <w:rsid w:val="00C45710"/>
    <w:rsid w:val="00C51C88"/>
    <w:rsid w:val="00C539E3"/>
    <w:rsid w:val="00C62B18"/>
    <w:rsid w:val="00C648A4"/>
    <w:rsid w:val="00C90C99"/>
    <w:rsid w:val="00C96158"/>
    <w:rsid w:val="00CB074A"/>
    <w:rsid w:val="00CD36CB"/>
    <w:rsid w:val="00CF2AAC"/>
    <w:rsid w:val="00CF2C22"/>
    <w:rsid w:val="00CF3847"/>
    <w:rsid w:val="00D01D90"/>
    <w:rsid w:val="00D134C9"/>
    <w:rsid w:val="00D234F5"/>
    <w:rsid w:val="00D3471E"/>
    <w:rsid w:val="00D358D3"/>
    <w:rsid w:val="00D40025"/>
    <w:rsid w:val="00D44E97"/>
    <w:rsid w:val="00D45F59"/>
    <w:rsid w:val="00D52F95"/>
    <w:rsid w:val="00D635B9"/>
    <w:rsid w:val="00D709CA"/>
    <w:rsid w:val="00D903B1"/>
    <w:rsid w:val="00D96A5A"/>
    <w:rsid w:val="00D97834"/>
    <w:rsid w:val="00DA23EA"/>
    <w:rsid w:val="00DA56E8"/>
    <w:rsid w:val="00DA72F3"/>
    <w:rsid w:val="00DB6945"/>
    <w:rsid w:val="00DB7B7A"/>
    <w:rsid w:val="00DC6A7C"/>
    <w:rsid w:val="00DD25EB"/>
    <w:rsid w:val="00DD2F9B"/>
    <w:rsid w:val="00DE69EB"/>
    <w:rsid w:val="00DF6299"/>
    <w:rsid w:val="00E21B86"/>
    <w:rsid w:val="00E35316"/>
    <w:rsid w:val="00E42755"/>
    <w:rsid w:val="00E5023F"/>
    <w:rsid w:val="00E50A78"/>
    <w:rsid w:val="00E53CC1"/>
    <w:rsid w:val="00E603F5"/>
    <w:rsid w:val="00E61F6D"/>
    <w:rsid w:val="00E65562"/>
    <w:rsid w:val="00E728BC"/>
    <w:rsid w:val="00E736D3"/>
    <w:rsid w:val="00E862A1"/>
    <w:rsid w:val="00EB1D20"/>
    <w:rsid w:val="00EB43BF"/>
    <w:rsid w:val="00EC0498"/>
    <w:rsid w:val="00EC78EF"/>
    <w:rsid w:val="00ED5746"/>
    <w:rsid w:val="00F0526D"/>
    <w:rsid w:val="00F05EC2"/>
    <w:rsid w:val="00F1171E"/>
    <w:rsid w:val="00F24335"/>
    <w:rsid w:val="00F271C0"/>
    <w:rsid w:val="00F3074E"/>
    <w:rsid w:val="00F379BF"/>
    <w:rsid w:val="00F42B6C"/>
    <w:rsid w:val="00F5184E"/>
    <w:rsid w:val="00F51E8E"/>
    <w:rsid w:val="00F566DE"/>
    <w:rsid w:val="00F7482C"/>
    <w:rsid w:val="00F776B6"/>
    <w:rsid w:val="00F83DCC"/>
    <w:rsid w:val="00F85935"/>
    <w:rsid w:val="00F93DEE"/>
    <w:rsid w:val="00FA3BF2"/>
    <w:rsid w:val="00FA69AF"/>
    <w:rsid w:val="00FB2EE7"/>
    <w:rsid w:val="00FB4510"/>
    <w:rsid w:val="00FB4AD2"/>
    <w:rsid w:val="00FB6CB9"/>
    <w:rsid w:val="00FB7EA5"/>
    <w:rsid w:val="00FD1D7E"/>
    <w:rsid w:val="00FD1E1C"/>
    <w:rsid w:val="00FD45C3"/>
    <w:rsid w:val="00FD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7327"/>
  <w15:docId w15:val="{05372F0C-4DCF-4C62-8ABC-99FF60F8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10C"/>
    <w:pPr>
      <w:spacing w:after="0" w:line="240" w:lineRule="auto"/>
    </w:pPr>
  </w:style>
  <w:style w:type="table" w:styleId="TableGrid">
    <w:name w:val="Table Grid"/>
    <w:basedOn w:val="TableNormal"/>
    <w:uiPriority w:val="59"/>
    <w:rsid w:val="00307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81377"/>
    <w:pPr>
      <w:spacing w:after="0" w:line="240" w:lineRule="auto"/>
      <w:jc w:val="both"/>
    </w:pPr>
    <w:rPr>
      <w:rFonts w:ascii="Bookman Old Style" w:eastAsia="Times New Roman" w:hAnsi="Bookman Old Style" w:cs="Times New Roman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281377"/>
    <w:rPr>
      <w:rFonts w:ascii="Bookman Old Style" w:eastAsia="Times New Roman" w:hAnsi="Bookman Old Style" w:cs="Times New Roman"/>
      <w:szCs w:val="20"/>
      <w:lang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0E37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NormalWeb">
    <w:name w:val="Normal (Web)"/>
    <w:basedOn w:val="Normal"/>
    <w:rsid w:val="00A05EA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A0FD5-5B9A-4B15-85AA-1963C5B89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DHMZ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Kovačević</dc:creator>
  <cp:lastModifiedBy>Renata Šilec-Hainš</cp:lastModifiedBy>
  <cp:revision>3</cp:revision>
  <cp:lastPrinted>2021-01-29T15:12:00Z</cp:lastPrinted>
  <dcterms:created xsi:type="dcterms:W3CDTF">2022-02-04T15:19:00Z</dcterms:created>
  <dcterms:modified xsi:type="dcterms:W3CDTF">2022-02-04T16:22:00Z</dcterms:modified>
</cp:coreProperties>
</file>